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7E4D1" w14:textId="77777777" w:rsidR="00BA47C9" w:rsidRDefault="00BA47C9" w:rsidP="001C76E8">
      <w:pPr>
        <w:jc w:val="center"/>
        <w:rPr>
          <w:b/>
          <w:bCs/>
          <w:sz w:val="28"/>
          <w:szCs w:val="28"/>
        </w:rPr>
      </w:pPr>
    </w:p>
    <w:p w14:paraId="6771DA60" w14:textId="77777777" w:rsidR="00BA47C9" w:rsidRDefault="00BA47C9" w:rsidP="001C76E8">
      <w:pPr>
        <w:jc w:val="center"/>
        <w:rPr>
          <w:b/>
          <w:bCs/>
          <w:sz w:val="28"/>
          <w:szCs w:val="28"/>
        </w:rPr>
      </w:pPr>
    </w:p>
    <w:p w14:paraId="15D37469" w14:textId="77777777" w:rsidR="00BA47C9" w:rsidRDefault="00BA47C9" w:rsidP="001C76E8">
      <w:pPr>
        <w:jc w:val="center"/>
        <w:rPr>
          <w:b/>
          <w:bCs/>
          <w:sz w:val="28"/>
          <w:szCs w:val="28"/>
        </w:rPr>
      </w:pPr>
    </w:p>
    <w:p w14:paraId="35899C7D" w14:textId="77777777" w:rsidR="002916C3" w:rsidRPr="002D51C3" w:rsidRDefault="002916C3" w:rsidP="002916C3">
      <w:pPr>
        <w:jc w:val="center"/>
        <w:rPr>
          <w:b/>
          <w:bCs/>
        </w:rPr>
      </w:pPr>
      <w:r w:rsidRPr="002D51C3">
        <w:rPr>
          <w:b/>
          <w:bCs/>
        </w:rPr>
        <w:t>BIOMÉRIEUX CANADA REÇOIT L'APPROBATION DE SANTÉ CANADA POUR SON PANEL BIOFIRE</w:t>
      </w:r>
      <w:r w:rsidRPr="005A6671">
        <w:rPr>
          <w:b/>
          <w:bCs/>
          <w:vertAlign w:val="superscript"/>
        </w:rPr>
        <w:t>®</w:t>
      </w:r>
      <w:r w:rsidRPr="002D51C3">
        <w:rPr>
          <w:b/>
          <w:bCs/>
        </w:rPr>
        <w:t xml:space="preserve"> JOINT INFECTION (JI)</w:t>
      </w:r>
    </w:p>
    <w:p w14:paraId="4AD81A7C" w14:textId="77777777" w:rsidR="002C4461" w:rsidRDefault="002C4461" w:rsidP="002C4461">
      <w:pPr>
        <w:jc w:val="center"/>
        <w:rPr>
          <w:bCs/>
          <w:sz w:val="24"/>
          <w:szCs w:val="24"/>
          <w:lang w:val="it-IT"/>
        </w:rPr>
      </w:pPr>
    </w:p>
    <w:p w14:paraId="1EBA2EF6" w14:textId="77777777" w:rsidR="00CD638F" w:rsidRPr="003A47CF" w:rsidRDefault="00CD638F" w:rsidP="002C4461">
      <w:pPr>
        <w:jc w:val="center"/>
        <w:rPr>
          <w:bCs/>
          <w:sz w:val="24"/>
          <w:szCs w:val="24"/>
          <w:lang w:val="it-IT"/>
        </w:rPr>
      </w:pPr>
    </w:p>
    <w:p w14:paraId="6884B1C3" w14:textId="46B3DD79" w:rsidR="002F4EAD" w:rsidRPr="00A26EA9" w:rsidRDefault="002F4EAD" w:rsidP="002F4EAD">
      <w:pPr>
        <w:rPr>
          <w:lang w:val="fr-CA"/>
        </w:rPr>
      </w:pPr>
      <w:r w:rsidRPr="00562453">
        <w:t>Montréal, Canada</w:t>
      </w:r>
      <w:r w:rsidR="005F5B01">
        <w:t>, 28-08-</w:t>
      </w:r>
      <w:r w:rsidRPr="00562453">
        <w:t>2023 – bioMérieux, un leader mondial dans le domaine du diagnostic in vitro, annonce aujourd'hui que son panel BIOFIRE</w:t>
      </w:r>
      <w:r w:rsidRPr="005A6671">
        <w:rPr>
          <w:vertAlign w:val="superscript"/>
        </w:rPr>
        <w:t>®</w:t>
      </w:r>
      <w:r w:rsidRPr="00562453">
        <w:t xml:space="preserve"> Joint Infection (JI) a reçu l'approbation de Santé Canada. </w:t>
      </w:r>
      <w:r w:rsidRPr="00562453">
        <w:rPr>
          <w:lang w:val="fr-CA"/>
        </w:rPr>
        <w:t>Ce panel teste rapidement 31 or</w:t>
      </w:r>
      <w:r>
        <w:rPr>
          <w:lang w:val="fr-CA"/>
        </w:rPr>
        <w:t>ganismes</w:t>
      </w:r>
      <w:r w:rsidRPr="00562453">
        <w:rPr>
          <w:lang w:val="fr-CA"/>
        </w:rPr>
        <w:t xml:space="preserve"> couramment associés aux infections articulaires et 8 gènes de résistance aux antimicrobiens (RAM), optimisant ainsi l'antibiothérapie et la gestion en temps opportun. </w:t>
      </w:r>
      <w:r w:rsidRPr="00F35E8F">
        <w:rPr>
          <w:lang w:val="fr-CA"/>
        </w:rPr>
        <w:t>Les infections articulaires sont dévastatrices et peuvent survenir à tout âge, entraînant une déficience fonctionnelle des articulations</w:t>
      </w:r>
      <w:r>
        <w:rPr>
          <w:lang w:val="fr-CA"/>
        </w:rPr>
        <w:t xml:space="preserve"> et</w:t>
      </w:r>
      <w:r w:rsidRPr="00F35E8F">
        <w:rPr>
          <w:lang w:val="fr-CA"/>
        </w:rPr>
        <w:t xml:space="preserve"> une invalidité de longue durée</w:t>
      </w:r>
      <w:r>
        <w:rPr>
          <w:lang w:val="fr-CA"/>
        </w:rPr>
        <w:t xml:space="preserve">. Elles peuvent </w:t>
      </w:r>
      <w:r w:rsidRPr="00F35E8F">
        <w:rPr>
          <w:lang w:val="fr-CA"/>
        </w:rPr>
        <w:t xml:space="preserve">même </w:t>
      </w:r>
      <w:r>
        <w:rPr>
          <w:lang w:val="fr-CA"/>
        </w:rPr>
        <w:t>compromettre la vie du patient.</w:t>
      </w:r>
      <w:r w:rsidRPr="00F35E8F">
        <w:rPr>
          <w:lang w:val="fr-CA"/>
        </w:rPr>
        <w:t xml:space="preserve"> </w:t>
      </w:r>
      <w:r w:rsidRPr="00105A52">
        <w:rPr>
          <w:lang w:val="fr-CA"/>
        </w:rPr>
        <w:t>Au Canada, on estime que 30 % des révisions de la hanche et du genou peuvent être attribuées à une infection</w:t>
      </w:r>
      <w:r>
        <w:rPr>
          <w:rStyle w:val="FootnoteReference"/>
          <w:lang w:val="fr-CA"/>
        </w:rPr>
        <w:footnoteReference w:id="1"/>
      </w:r>
      <w:r w:rsidRPr="00105A52">
        <w:rPr>
          <w:lang w:val="fr-CA"/>
        </w:rPr>
        <w:t xml:space="preserve">. </w:t>
      </w:r>
      <w:r w:rsidRPr="00F64141">
        <w:rPr>
          <w:lang w:val="fr-CA"/>
        </w:rPr>
        <w:t>Avec un</w:t>
      </w:r>
      <w:r>
        <w:rPr>
          <w:lang w:val="fr-CA"/>
        </w:rPr>
        <w:t>e</w:t>
      </w:r>
      <w:r w:rsidRPr="00F64141">
        <w:rPr>
          <w:lang w:val="fr-CA"/>
        </w:rPr>
        <w:t xml:space="preserve"> incidence de 2 pour 100 000 personnes, l'arthrite septique est le plus souvent observée chez les jeunes enfants et les personnes âgées</w:t>
      </w:r>
      <w:r>
        <w:rPr>
          <w:rStyle w:val="FootnoteReference"/>
          <w:lang w:val="fr-CA"/>
        </w:rPr>
        <w:footnoteReference w:id="2"/>
      </w:r>
      <w:r w:rsidRPr="00F64141">
        <w:rPr>
          <w:lang w:val="fr-CA"/>
        </w:rPr>
        <w:t xml:space="preserve">. </w:t>
      </w:r>
      <w:r w:rsidRPr="00A26EA9">
        <w:rPr>
          <w:lang w:val="fr-CA"/>
        </w:rPr>
        <w:t>Son diagnostic est particulièrement difficile car les signes et les symptômes peuvent être non spécifiques et plusieurs techniques de diagnostic sont souvent nécessaires</w:t>
      </w:r>
      <w:r>
        <w:rPr>
          <w:rStyle w:val="FootnoteReference"/>
          <w:lang w:val="fr-CA"/>
        </w:rPr>
        <w:footnoteReference w:id="3"/>
      </w:r>
      <w:r w:rsidRPr="00A26EA9">
        <w:rPr>
          <w:lang w:val="fr-CA"/>
        </w:rPr>
        <w:t>.</w:t>
      </w:r>
    </w:p>
    <w:p w14:paraId="45A469DE" w14:textId="77777777" w:rsidR="002F4EAD" w:rsidRPr="00510F22" w:rsidRDefault="002F4EAD" w:rsidP="002F4EAD">
      <w:pPr>
        <w:rPr>
          <w:lang w:val="fr-CA"/>
        </w:rPr>
      </w:pPr>
    </w:p>
    <w:p w14:paraId="4F7E564B" w14:textId="33D11928" w:rsidR="002F4EAD" w:rsidRDefault="002F4EAD" w:rsidP="002F4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r-CA"/>
        </w:rPr>
      </w:pPr>
      <w:r w:rsidRPr="00510F22">
        <w:rPr>
          <w:lang w:val="fr-CA"/>
        </w:rPr>
        <w:t xml:space="preserve">Le traitement optimal des infections articulaires dépend d'un diagnostic rapide et précis. En effet, les articulations peuvent subir des dommages </w:t>
      </w:r>
      <w:r w:rsidR="005E1050" w:rsidRPr="00510F22">
        <w:rPr>
          <w:lang w:val="fr-CA"/>
        </w:rPr>
        <w:t>sérieux</w:t>
      </w:r>
      <w:r w:rsidRPr="00510F22">
        <w:rPr>
          <w:lang w:val="fr-CA"/>
        </w:rPr>
        <w:t xml:space="preserve"> si l'infection n'est pas traitée de manière adéquate et rapide</w:t>
      </w:r>
      <w:r>
        <w:rPr>
          <w:rStyle w:val="FootnoteReference"/>
          <w:lang w:val="fr-CA"/>
        </w:rPr>
        <w:footnoteReference w:id="4"/>
      </w:r>
      <w:r w:rsidRPr="00510F22">
        <w:rPr>
          <w:lang w:val="fr-CA"/>
        </w:rPr>
        <w:t>. Cependant, son diagnostic reste difficile car les méthodes de diagnostic disponibles ont une précision variable, peuvent avoir de longs délais d'exécution et peuvent être négativement affectées par l'utilisation antérieure d'anti</w:t>
      </w:r>
      <w:r>
        <w:rPr>
          <w:lang w:val="fr-CA"/>
        </w:rPr>
        <w:t>biotiques</w:t>
      </w:r>
    </w:p>
    <w:p w14:paraId="3CC1639F" w14:textId="77777777" w:rsidR="002F4EAD" w:rsidRPr="00510F22" w:rsidRDefault="002F4EAD" w:rsidP="002F4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r-CA"/>
        </w:rPr>
      </w:pPr>
      <w:r w:rsidRPr="00510F22">
        <w:rPr>
          <w:lang w:val="fr-CA"/>
        </w:rPr>
        <w:t>.</w:t>
      </w:r>
    </w:p>
    <w:p w14:paraId="6217A593" w14:textId="46AA7030" w:rsidR="002F4EAD" w:rsidRPr="00510F22" w:rsidRDefault="002F4EAD" w:rsidP="002F4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r-CA"/>
        </w:rPr>
      </w:pPr>
      <w:r w:rsidRPr="00510F22">
        <w:rPr>
          <w:lang w:val="fr-CA"/>
        </w:rPr>
        <w:t xml:space="preserve">La Dre Marisa Azad, MD/PhD, L'Hôpital d'Ottawa, ajoute : « </w:t>
      </w:r>
      <w:r w:rsidRPr="00510F22">
        <w:rPr>
          <w:i/>
          <w:iCs/>
          <w:lang w:val="fr-CA"/>
        </w:rPr>
        <w:t xml:space="preserve">Le diagnostic des infections articulaires chez les adultes et les enfants peut être difficile et nécessite souvent une combinaison de différentes modalités de diagnostic. La clé d'un traitement efficace et de l'amélioration des résultats pour les patients est d'obtenir rapidement un diagnostic précis. Ce nouveau panel comble les lacunes du bilan </w:t>
      </w:r>
      <w:r w:rsidR="00165248">
        <w:rPr>
          <w:i/>
          <w:iCs/>
          <w:lang w:val="fr-CA"/>
        </w:rPr>
        <w:t xml:space="preserve">du </w:t>
      </w:r>
      <w:r w:rsidRPr="00510F22">
        <w:rPr>
          <w:i/>
          <w:iCs/>
          <w:lang w:val="fr-CA"/>
        </w:rPr>
        <w:t>diagnosti</w:t>
      </w:r>
      <w:r w:rsidR="00165248">
        <w:rPr>
          <w:i/>
          <w:iCs/>
          <w:lang w:val="fr-CA"/>
        </w:rPr>
        <w:t>c</w:t>
      </w:r>
      <w:r w:rsidR="00502AFB">
        <w:rPr>
          <w:i/>
          <w:iCs/>
          <w:lang w:val="fr-CA"/>
        </w:rPr>
        <w:t xml:space="preserve"> e</w:t>
      </w:r>
      <w:r w:rsidRPr="00035AEF">
        <w:rPr>
          <w:i/>
          <w:iCs/>
          <w:lang w:val="fr-CA"/>
        </w:rPr>
        <w:t>xistant</w:t>
      </w:r>
      <w:r w:rsidRPr="00510F22">
        <w:rPr>
          <w:i/>
          <w:iCs/>
          <w:lang w:val="fr-CA"/>
        </w:rPr>
        <w:t>: délais d'exécution prolongés, problème des résultats négatifs à la culture et manque de normalisation des critères de diagnostic, en particulier en cas d'infection articulaire périprothétique. Le diagnostic moléculaire dans les infections orthopédiques est un nouveau domaine passionnant et le panel JI a le potentiel d'offrir un diagnostic plus rapide et une thérapie antimicrobienne ciblée pour ces patients</w:t>
      </w:r>
      <w:r w:rsidRPr="00510F22">
        <w:rPr>
          <w:lang w:val="fr-CA"/>
        </w:rPr>
        <w:t xml:space="preserve"> ».</w:t>
      </w:r>
    </w:p>
    <w:p w14:paraId="4037D7F0" w14:textId="77777777" w:rsidR="002F4EAD" w:rsidRDefault="002F4EAD" w:rsidP="002F4EAD">
      <w:pPr>
        <w:rPr>
          <w:lang w:val="fr-CA"/>
        </w:rPr>
      </w:pPr>
    </w:p>
    <w:p w14:paraId="3963DC5E" w14:textId="77777777" w:rsidR="002F4EAD" w:rsidRPr="007E6557" w:rsidRDefault="002F4EAD" w:rsidP="002F4EAD">
      <w:pPr>
        <w:rPr>
          <w:lang w:val="fr-CA"/>
        </w:rPr>
      </w:pPr>
      <w:r w:rsidRPr="007E6557">
        <w:rPr>
          <w:lang w:val="fr-CA"/>
        </w:rPr>
        <w:t>Le panel BIOFIRE</w:t>
      </w:r>
      <w:r w:rsidRPr="005A6671">
        <w:rPr>
          <w:vertAlign w:val="superscript"/>
          <w:lang w:val="fr-CA"/>
        </w:rPr>
        <w:t>®</w:t>
      </w:r>
      <w:r>
        <w:rPr>
          <w:lang w:val="fr-CA"/>
        </w:rPr>
        <w:t xml:space="preserve"> Joint Infection</w:t>
      </w:r>
      <w:r w:rsidRPr="007E6557">
        <w:rPr>
          <w:lang w:val="fr-CA"/>
        </w:rPr>
        <w:t xml:space="preserve"> est le plus récent panel syndromique de la famille BIOFIRE</w:t>
      </w:r>
      <w:r w:rsidRPr="005A6671">
        <w:rPr>
          <w:vertAlign w:val="superscript"/>
          <w:lang w:val="fr-CA"/>
        </w:rPr>
        <w:t>®</w:t>
      </w:r>
      <w:r w:rsidRPr="007E6557">
        <w:rPr>
          <w:lang w:val="fr-CA"/>
        </w:rPr>
        <w:t>. Avec un délai d'exécution rapide d'environ 1 heure et un large menu de 39 cibles, le panel BIOFIRE</w:t>
      </w:r>
      <w:r w:rsidRPr="005A6671">
        <w:rPr>
          <w:vertAlign w:val="superscript"/>
          <w:lang w:val="fr-CA"/>
        </w:rPr>
        <w:t>®</w:t>
      </w:r>
      <w:r w:rsidRPr="007E6557">
        <w:rPr>
          <w:lang w:val="fr-CA"/>
        </w:rPr>
        <w:t xml:space="preserve"> JI répond aux besoins non satisfaits dans le diagnostic des infections articulaires, y compris une prise de décision plus éclairée guidée par l'agent pathogène pour la gestion des patients, la décision liée à la chirurgie et l</w:t>
      </w:r>
      <w:r>
        <w:rPr>
          <w:lang w:val="fr-CA"/>
        </w:rPr>
        <w:t>e choix d</w:t>
      </w:r>
      <w:r w:rsidRPr="007E6557">
        <w:rPr>
          <w:lang w:val="fr-CA"/>
        </w:rPr>
        <w:t>'antibiotique, soutenant la gestion responsable des antimicrobiens (AMS).</w:t>
      </w:r>
    </w:p>
    <w:p w14:paraId="4709D53E" w14:textId="77777777" w:rsidR="002F4EAD" w:rsidRPr="007E6557" w:rsidRDefault="002F4EAD" w:rsidP="002F4EAD">
      <w:pPr>
        <w:rPr>
          <w:lang w:val="fr-CA"/>
        </w:rPr>
      </w:pPr>
      <w:r w:rsidRPr="007E6557">
        <w:rPr>
          <w:lang w:val="fr-CA"/>
        </w:rPr>
        <w:t>Le panel BIOFIRE</w:t>
      </w:r>
      <w:r w:rsidRPr="005A6671">
        <w:rPr>
          <w:vertAlign w:val="superscript"/>
          <w:lang w:val="fr-CA"/>
        </w:rPr>
        <w:t>®</w:t>
      </w:r>
      <w:r w:rsidRPr="007E6557">
        <w:rPr>
          <w:lang w:val="fr-CA"/>
        </w:rPr>
        <w:t xml:space="preserve"> JI fournit des résultats à partir d'échantillons de liquide synovial obtenus directement à partir de l'articulation affectée. Il fonctionne sur les systèmes </w:t>
      </w:r>
      <w:r w:rsidRPr="007E6557">
        <w:rPr>
          <w:lang w:val="fr-CA"/>
        </w:rPr>
        <w:lastRenderedPageBreak/>
        <w:t>BIOFIRE</w:t>
      </w:r>
      <w:r w:rsidRPr="005A6671">
        <w:rPr>
          <w:vertAlign w:val="superscript"/>
          <w:lang w:val="fr-CA"/>
        </w:rPr>
        <w:t>®</w:t>
      </w:r>
      <w:r w:rsidRPr="007E6557">
        <w:rPr>
          <w:lang w:val="fr-CA"/>
        </w:rPr>
        <w:t xml:space="preserve"> FILMARRAY</w:t>
      </w:r>
      <w:r w:rsidRPr="005A6671">
        <w:rPr>
          <w:vertAlign w:val="superscript"/>
          <w:lang w:val="fr-CA"/>
        </w:rPr>
        <w:t>®</w:t>
      </w:r>
      <w:r w:rsidRPr="007E6557">
        <w:rPr>
          <w:lang w:val="fr-CA"/>
        </w:rPr>
        <w:t xml:space="preserve"> 2.0 et BIOFIRE</w:t>
      </w:r>
      <w:r w:rsidRPr="005A6671">
        <w:rPr>
          <w:vertAlign w:val="superscript"/>
          <w:lang w:val="fr-CA"/>
        </w:rPr>
        <w:t>®</w:t>
      </w:r>
      <w:r>
        <w:rPr>
          <w:lang w:val="fr-CA"/>
        </w:rPr>
        <w:t xml:space="preserve"> TORCH, </w:t>
      </w:r>
      <w:r w:rsidRPr="007E6557">
        <w:rPr>
          <w:lang w:val="fr-CA"/>
        </w:rPr>
        <w:t>entièrement automatisés avec seulement 2 minutes de temps de préparation des échantillons.</w:t>
      </w:r>
    </w:p>
    <w:p w14:paraId="5F469638" w14:textId="77777777" w:rsidR="002F4EAD" w:rsidRDefault="002F4EAD" w:rsidP="002F4EAD">
      <w:pPr>
        <w:rPr>
          <w:lang w:val="fr-CA"/>
        </w:rPr>
      </w:pPr>
    </w:p>
    <w:p w14:paraId="31FDD55C" w14:textId="4CCF85E7" w:rsidR="002F4EAD" w:rsidRPr="00C24B4A" w:rsidRDefault="002F4EAD" w:rsidP="002F4EAD">
      <w:pPr>
        <w:rPr>
          <w:lang w:val="fr-CA"/>
        </w:rPr>
      </w:pPr>
      <w:r w:rsidRPr="00C24B4A">
        <w:rPr>
          <w:lang w:val="fr-CA"/>
        </w:rPr>
        <w:t xml:space="preserve">Julie Émond, vice-présidente et directrice générale, a déclaré : « </w:t>
      </w:r>
      <w:r w:rsidRPr="00C24B4A">
        <w:rPr>
          <w:i/>
          <w:iCs/>
          <w:lang w:val="fr-CA"/>
        </w:rPr>
        <w:t xml:space="preserve">L'infection articulaire peut entraîner des dysfonctionnements graves et durables - des conditions qui peuvent maintenant être atténuées grâce à un diagnostic rapide </w:t>
      </w:r>
      <w:r w:rsidR="00BF7B32">
        <w:rPr>
          <w:i/>
          <w:iCs/>
          <w:lang w:val="fr-CA"/>
        </w:rPr>
        <w:t xml:space="preserve">et précis, </w:t>
      </w:r>
      <w:r w:rsidRPr="00C24B4A">
        <w:rPr>
          <w:i/>
          <w:iCs/>
          <w:lang w:val="fr-CA"/>
        </w:rPr>
        <w:t xml:space="preserve">et à l'accès à un traitement approprié </w:t>
      </w:r>
      <w:r>
        <w:rPr>
          <w:i/>
          <w:iCs/>
          <w:lang w:val="fr-CA"/>
        </w:rPr>
        <w:t>avec le</w:t>
      </w:r>
      <w:r w:rsidRPr="00C24B4A">
        <w:rPr>
          <w:i/>
          <w:iCs/>
          <w:lang w:val="fr-CA"/>
        </w:rPr>
        <w:t xml:space="preserve"> nouveau panel syndromique BIOFIRE</w:t>
      </w:r>
      <w:r w:rsidRPr="005A6671">
        <w:rPr>
          <w:vertAlign w:val="superscript"/>
          <w:lang w:val="fr-CA"/>
        </w:rPr>
        <w:t>®</w:t>
      </w:r>
      <w:r w:rsidRPr="00C24B4A">
        <w:rPr>
          <w:i/>
          <w:iCs/>
          <w:lang w:val="fr-CA"/>
        </w:rPr>
        <w:t xml:space="preserve"> Joint Infection</w:t>
      </w:r>
      <w:r>
        <w:rPr>
          <w:rStyle w:val="FootnoteReference"/>
          <w:i/>
          <w:iCs/>
          <w:lang w:val="fr-CA"/>
        </w:rPr>
        <w:footnoteReference w:id="5"/>
      </w:r>
      <w:r w:rsidRPr="00C24B4A">
        <w:rPr>
          <w:i/>
          <w:iCs/>
          <w:lang w:val="fr-CA"/>
        </w:rPr>
        <w:t xml:space="preserve">. </w:t>
      </w:r>
      <w:r>
        <w:rPr>
          <w:i/>
          <w:iCs/>
          <w:lang w:val="fr-CA"/>
        </w:rPr>
        <w:t>Entre autre, c</w:t>
      </w:r>
      <w:r w:rsidRPr="00C24B4A">
        <w:rPr>
          <w:i/>
          <w:iCs/>
          <w:lang w:val="fr-CA"/>
        </w:rPr>
        <w:t xml:space="preserve">ela comble une lacune </w:t>
      </w:r>
      <w:r w:rsidR="00165248">
        <w:rPr>
          <w:i/>
          <w:iCs/>
          <w:lang w:val="fr-CA"/>
        </w:rPr>
        <w:t xml:space="preserve">de </w:t>
      </w:r>
      <w:r w:rsidRPr="00C24B4A">
        <w:rPr>
          <w:i/>
          <w:iCs/>
          <w:lang w:val="fr-CA"/>
        </w:rPr>
        <w:t>diagnosti</w:t>
      </w:r>
      <w:r w:rsidR="00165248">
        <w:rPr>
          <w:i/>
          <w:iCs/>
          <w:lang w:val="fr-CA"/>
        </w:rPr>
        <w:t>c</w:t>
      </w:r>
      <w:r w:rsidRPr="00C24B4A">
        <w:rPr>
          <w:i/>
          <w:iCs/>
          <w:lang w:val="fr-CA"/>
        </w:rPr>
        <w:t xml:space="preserve"> dans la détection de Kingella </w:t>
      </w:r>
      <w:r>
        <w:rPr>
          <w:i/>
          <w:iCs/>
          <w:lang w:val="fr-CA"/>
        </w:rPr>
        <w:t>k</w:t>
      </w:r>
      <w:r w:rsidRPr="00C24B4A">
        <w:rPr>
          <w:i/>
          <w:iCs/>
          <w:lang w:val="fr-CA"/>
        </w:rPr>
        <w:t>ingae, souvent manqué dans près des 2/3 des cultures</w:t>
      </w:r>
      <w:r>
        <w:rPr>
          <w:rStyle w:val="FootnoteReference"/>
          <w:i/>
          <w:iCs/>
          <w:lang w:val="fr-CA"/>
        </w:rPr>
        <w:footnoteReference w:id="6"/>
      </w:r>
      <w:r w:rsidRPr="00C24B4A">
        <w:rPr>
          <w:i/>
          <w:iCs/>
          <w:lang w:val="fr-CA"/>
        </w:rPr>
        <w:t>. Cela change vraiment la donne pour les patients pédiatriques touchés par une infection articulaire</w:t>
      </w:r>
      <w:r w:rsidRPr="00C24B4A">
        <w:rPr>
          <w:lang w:val="fr-CA"/>
        </w:rPr>
        <w:t xml:space="preserve">. </w:t>
      </w:r>
      <w:r w:rsidRPr="00510F22">
        <w:rPr>
          <w:lang w:val="fr-CA"/>
        </w:rPr>
        <w:t>»</w:t>
      </w:r>
    </w:p>
    <w:p w14:paraId="71EEFD4A" w14:textId="77777777" w:rsidR="002F4EAD" w:rsidRPr="00C24B4A" w:rsidRDefault="002F4EAD" w:rsidP="002F4EAD">
      <w:pPr>
        <w:rPr>
          <w:lang w:val="fr-CA"/>
        </w:rPr>
      </w:pPr>
    </w:p>
    <w:p w14:paraId="7877FC09" w14:textId="7D37FB4B" w:rsidR="002F4EAD" w:rsidRDefault="002F4EAD" w:rsidP="002F4EAD">
      <w:pPr>
        <w:rPr>
          <w:lang w:val="fr-CA"/>
        </w:rPr>
      </w:pPr>
      <w:r w:rsidRPr="00C24B4A">
        <w:rPr>
          <w:lang w:val="fr-CA"/>
        </w:rPr>
        <w:t xml:space="preserve">Grâce au nouveau </w:t>
      </w:r>
      <w:r>
        <w:rPr>
          <w:lang w:val="fr-CA"/>
        </w:rPr>
        <w:t xml:space="preserve">panel </w:t>
      </w:r>
      <w:r w:rsidRPr="00C24B4A">
        <w:rPr>
          <w:lang w:val="fr-CA"/>
        </w:rPr>
        <w:t>BIOFIRE</w:t>
      </w:r>
      <w:r w:rsidRPr="005A6671">
        <w:rPr>
          <w:vertAlign w:val="superscript"/>
          <w:lang w:val="fr-CA"/>
        </w:rPr>
        <w:t>®</w:t>
      </w:r>
      <w:r w:rsidRPr="00C24B4A">
        <w:rPr>
          <w:lang w:val="fr-CA"/>
        </w:rPr>
        <w:t xml:space="preserve"> Joint Infection, nous sommes en mesure d'étendre la valeur clinique de BIOFIRE</w:t>
      </w:r>
      <w:r w:rsidRPr="005A6671">
        <w:rPr>
          <w:vertAlign w:val="superscript"/>
          <w:lang w:val="fr-CA"/>
        </w:rPr>
        <w:t>®</w:t>
      </w:r>
      <w:r w:rsidRPr="00C24B4A">
        <w:rPr>
          <w:lang w:val="fr-CA"/>
        </w:rPr>
        <w:t xml:space="preserve"> à un nouvel état pathologique</w:t>
      </w:r>
      <w:r>
        <w:rPr>
          <w:lang w:val="fr-CA"/>
        </w:rPr>
        <w:t xml:space="preserve"> en plus des 4 autres syndromes déjà couverts par BIOFIRE</w:t>
      </w:r>
      <w:r w:rsidRPr="005A6671">
        <w:rPr>
          <w:vertAlign w:val="superscript"/>
          <w:lang w:val="fr-CA"/>
        </w:rPr>
        <w:t>®</w:t>
      </w:r>
      <w:r w:rsidRPr="00C24B4A">
        <w:rPr>
          <w:lang w:val="fr-CA"/>
        </w:rPr>
        <w:t xml:space="preserve">, avec une solution de diagnostic innovante qui répond directement aux besoins du laboratoire et des cliniciens : un diagnostic complet, rapide et fiable. Il renforce le rôle de chef de file de </w:t>
      </w:r>
      <w:r>
        <w:rPr>
          <w:lang w:val="fr-CA"/>
        </w:rPr>
        <w:t>bioMérieux</w:t>
      </w:r>
      <w:r w:rsidRPr="00C24B4A">
        <w:rPr>
          <w:lang w:val="fr-CA"/>
        </w:rPr>
        <w:t xml:space="preserve"> dans les tests syndromiques avec le plus vaste portefeuille de solutions de diagnostic disponibles aujourd'hui au Canada, répondant aux besoins vitaux en matière de diagnostic des maladies infectieuses</w:t>
      </w:r>
      <w:r w:rsidR="00C75166">
        <w:rPr>
          <w:lang w:val="fr-CA"/>
        </w:rPr>
        <w:t>,</w:t>
      </w:r>
      <w:r w:rsidR="00727B65">
        <w:rPr>
          <w:lang w:val="fr-CA"/>
        </w:rPr>
        <w:t xml:space="preserve"> à l’intérieur tout comme à l’extérieur des laboratoires.</w:t>
      </w:r>
    </w:p>
    <w:p w14:paraId="2E0CE4B9" w14:textId="77777777" w:rsidR="002F4EAD" w:rsidRDefault="002F4EAD" w:rsidP="002F4EAD">
      <w:pPr>
        <w:rPr>
          <w:lang w:val="fr-CA"/>
        </w:rPr>
      </w:pPr>
    </w:p>
    <w:p w14:paraId="3F99A97F" w14:textId="77777777" w:rsidR="00727B65" w:rsidRDefault="00727B65" w:rsidP="002F4EAD">
      <w:pPr>
        <w:rPr>
          <w:lang w:val="fr-CA"/>
        </w:rPr>
      </w:pPr>
    </w:p>
    <w:p w14:paraId="27F6E93F" w14:textId="77777777" w:rsidR="00727B65" w:rsidRDefault="00727B65" w:rsidP="002F4EAD">
      <w:pPr>
        <w:rPr>
          <w:lang w:val="fr-CA"/>
        </w:rPr>
      </w:pPr>
    </w:p>
    <w:p w14:paraId="3FAF65FF" w14:textId="77777777" w:rsidR="002F4EAD" w:rsidRPr="001A2D33" w:rsidRDefault="002F4EAD" w:rsidP="002F4EAD">
      <w:pPr>
        <w:rPr>
          <w:lang w:val="fr-CA"/>
        </w:rPr>
      </w:pPr>
      <w:r w:rsidRPr="001A2D33">
        <w:rPr>
          <w:lang w:val="fr-CA"/>
        </w:rPr>
        <w:t>À PROPOS DE BIOFIRE</w:t>
      </w:r>
      <w:r w:rsidRPr="005A6671">
        <w:rPr>
          <w:vertAlign w:val="superscript"/>
          <w:lang w:val="fr-CA"/>
        </w:rPr>
        <w:t>®</w:t>
      </w:r>
      <w:r w:rsidRPr="001A2D33">
        <w:rPr>
          <w:lang w:val="fr-CA"/>
        </w:rPr>
        <w:t xml:space="preserve"> FILMARRAY</w:t>
      </w:r>
      <w:r w:rsidRPr="005A6671">
        <w:rPr>
          <w:vertAlign w:val="superscript"/>
          <w:lang w:val="fr-CA"/>
        </w:rPr>
        <w:t>®</w:t>
      </w:r>
    </w:p>
    <w:p w14:paraId="46E8CAD7" w14:textId="77777777" w:rsidR="002F4EAD" w:rsidRPr="001A2D33" w:rsidRDefault="002F4EAD" w:rsidP="002F4EAD">
      <w:pPr>
        <w:rPr>
          <w:lang w:val="fr-CA"/>
        </w:rPr>
      </w:pPr>
      <w:r w:rsidRPr="001A2D33">
        <w:rPr>
          <w:lang w:val="fr-CA"/>
        </w:rPr>
        <w:t>BIOFIRE</w:t>
      </w:r>
      <w:r w:rsidRPr="005A6671">
        <w:rPr>
          <w:vertAlign w:val="superscript"/>
          <w:lang w:val="fr-CA"/>
        </w:rPr>
        <w:t>®</w:t>
      </w:r>
      <w:r w:rsidRPr="001A2D33">
        <w:rPr>
          <w:lang w:val="fr-CA"/>
        </w:rPr>
        <w:t xml:space="preserve"> est une </w:t>
      </w:r>
      <w:r>
        <w:rPr>
          <w:lang w:val="fr-CA"/>
        </w:rPr>
        <w:t xml:space="preserve">solution de </w:t>
      </w:r>
      <w:r w:rsidRPr="001A2D33">
        <w:rPr>
          <w:lang w:val="fr-CA"/>
        </w:rPr>
        <w:t>PCR</w:t>
      </w:r>
      <w:r>
        <w:rPr>
          <w:lang w:val="fr-CA"/>
        </w:rPr>
        <w:t xml:space="preserve"> syndromique </w:t>
      </w:r>
      <w:r w:rsidRPr="001A2D33">
        <w:rPr>
          <w:lang w:val="fr-CA"/>
        </w:rPr>
        <w:t>approuvé par Santé Canada, U.S. FDA et marqué CE qui intègre la préparation, l'amplification et la détection des échantillons. Un test BIOFIRE</w:t>
      </w:r>
      <w:r w:rsidRPr="005A6671">
        <w:rPr>
          <w:vertAlign w:val="superscript"/>
          <w:lang w:val="fr-CA"/>
        </w:rPr>
        <w:t>®</w:t>
      </w:r>
      <w:r w:rsidRPr="001A2D33">
        <w:rPr>
          <w:lang w:val="fr-CA"/>
        </w:rPr>
        <w:t xml:space="preserve"> ne nécessite que deux minutes de temps de manipulation et a une durée totale d'exécution </w:t>
      </w:r>
      <w:r>
        <w:rPr>
          <w:lang w:val="fr-CA"/>
        </w:rPr>
        <w:t>d’</w:t>
      </w:r>
      <w:r w:rsidRPr="001A2D33">
        <w:rPr>
          <w:lang w:val="fr-CA"/>
        </w:rPr>
        <w:t>aussi peu que 45 minutes</w:t>
      </w:r>
      <w:r>
        <w:rPr>
          <w:lang w:val="fr-CA"/>
        </w:rPr>
        <w:t xml:space="preserve">. </w:t>
      </w:r>
      <w:r w:rsidRPr="001A2D33">
        <w:rPr>
          <w:lang w:val="fr-CA"/>
        </w:rPr>
        <w:t>La gamme BIOFIRE</w:t>
      </w:r>
      <w:r w:rsidRPr="005A6671">
        <w:rPr>
          <w:vertAlign w:val="superscript"/>
          <w:lang w:val="fr-CA"/>
        </w:rPr>
        <w:t>®</w:t>
      </w:r>
      <w:r w:rsidRPr="001A2D33">
        <w:rPr>
          <w:lang w:val="fr-CA"/>
        </w:rPr>
        <w:t xml:space="preserve"> possède le plus grand menu </w:t>
      </w:r>
      <w:r>
        <w:rPr>
          <w:lang w:val="fr-CA"/>
        </w:rPr>
        <w:t>d’organismes</w:t>
      </w:r>
      <w:r w:rsidRPr="001A2D33">
        <w:rPr>
          <w:lang w:val="fr-CA"/>
        </w:rPr>
        <w:t xml:space="preserve"> de maladies infectieuses disponible dans le commerce. Il est composé de panels couvrant 5 syndromes</w:t>
      </w:r>
      <w:r>
        <w:rPr>
          <w:lang w:val="fr-CA"/>
        </w:rPr>
        <w:t> :</w:t>
      </w:r>
    </w:p>
    <w:p w14:paraId="6BBA86D3" w14:textId="0A43D7DE" w:rsidR="002F4EAD" w:rsidRPr="00014AF4" w:rsidRDefault="002F4EAD" w:rsidP="002F4EAD">
      <w:pPr>
        <w:pStyle w:val="ListParagraph"/>
        <w:numPr>
          <w:ilvl w:val="0"/>
          <w:numId w:val="3"/>
        </w:numPr>
        <w:spacing w:after="160"/>
        <w:rPr>
          <w:lang w:val="fr-CA"/>
        </w:rPr>
      </w:pPr>
      <w:r w:rsidRPr="00014AF4">
        <w:rPr>
          <w:lang w:val="fr-CA"/>
        </w:rPr>
        <w:t>BIOFIRE</w:t>
      </w:r>
      <w:r w:rsidRPr="005A6671">
        <w:rPr>
          <w:vertAlign w:val="superscript"/>
          <w:lang w:val="fr-CA"/>
        </w:rPr>
        <w:t>®</w:t>
      </w:r>
      <w:r w:rsidRPr="00014AF4">
        <w:rPr>
          <w:lang w:val="fr-CA"/>
        </w:rPr>
        <w:t xml:space="preserve"> Respiratory Panel</w:t>
      </w:r>
      <w:r>
        <w:rPr>
          <w:lang w:val="fr-CA"/>
        </w:rPr>
        <w:t xml:space="preserve"> </w:t>
      </w:r>
      <w:r w:rsidRPr="00014AF4">
        <w:rPr>
          <w:lang w:val="fr-CA"/>
        </w:rPr>
        <w:t>(RP2.1), identifi</w:t>
      </w:r>
      <w:r>
        <w:rPr>
          <w:lang w:val="fr-CA"/>
        </w:rPr>
        <w:t>e</w:t>
      </w:r>
      <w:r w:rsidRPr="00014AF4">
        <w:rPr>
          <w:lang w:val="fr-CA"/>
        </w:rPr>
        <w:t xml:space="preserve"> 22 virus et bactéries respiratoires réalisés directement sur des écouvillons nasopharyngés </w:t>
      </w:r>
      <w:r>
        <w:rPr>
          <w:lang w:val="fr-CA"/>
        </w:rPr>
        <w:t>conservé</w:t>
      </w:r>
      <w:r w:rsidR="00165248">
        <w:rPr>
          <w:lang w:val="fr-CA"/>
        </w:rPr>
        <w:t>s</w:t>
      </w:r>
      <w:r>
        <w:rPr>
          <w:lang w:val="fr-CA"/>
        </w:rPr>
        <w:t xml:space="preserve"> </w:t>
      </w:r>
      <w:r w:rsidRPr="00014AF4">
        <w:rPr>
          <w:lang w:val="fr-CA"/>
        </w:rPr>
        <w:t xml:space="preserve">dans </w:t>
      </w:r>
      <w:r>
        <w:rPr>
          <w:lang w:val="fr-CA"/>
        </w:rPr>
        <w:t>un</w:t>
      </w:r>
      <w:r w:rsidRPr="00014AF4">
        <w:rPr>
          <w:lang w:val="fr-CA"/>
        </w:rPr>
        <w:t xml:space="preserve"> m</w:t>
      </w:r>
      <w:r>
        <w:rPr>
          <w:lang w:val="fr-CA"/>
        </w:rPr>
        <w:t>ilieu</w:t>
      </w:r>
      <w:r w:rsidRPr="00014AF4">
        <w:rPr>
          <w:lang w:val="fr-CA"/>
        </w:rPr>
        <w:t xml:space="preserve"> de transport.</w:t>
      </w:r>
    </w:p>
    <w:p w14:paraId="6DD33BFE" w14:textId="77777777" w:rsidR="002F4EAD" w:rsidRPr="00014AF4" w:rsidRDefault="002F4EAD" w:rsidP="002F4EAD">
      <w:pPr>
        <w:pStyle w:val="ListParagraph"/>
        <w:numPr>
          <w:ilvl w:val="0"/>
          <w:numId w:val="4"/>
        </w:numPr>
        <w:spacing w:after="160"/>
        <w:rPr>
          <w:lang w:val="fr-CA"/>
        </w:rPr>
      </w:pPr>
      <w:r w:rsidRPr="00014AF4">
        <w:rPr>
          <w:lang w:val="fr-CA"/>
        </w:rPr>
        <w:t>BIOFIRE</w:t>
      </w:r>
      <w:r w:rsidRPr="005A6671">
        <w:rPr>
          <w:vertAlign w:val="superscript"/>
          <w:lang w:val="fr-CA"/>
        </w:rPr>
        <w:t>®</w:t>
      </w:r>
      <w:r w:rsidRPr="00014AF4">
        <w:rPr>
          <w:lang w:val="fr-CA"/>
        </w:rPr>
        <w:t xml:space="preserve"> Blood Culture Identification 2 (BCID2), identifi</w:t>
      </w:r>
      <w:r>
        <w:rPr>
          <w:lang w:val="fr-CA"/>
        </w:rPr>
        <w:t>e</w:t>
      </w:r>
      <w:r w:rsidRPr="00014AF4">
        <w:rPr>
          <w:lang w:val="fr-CA"/>
        </w:rPr>
        <w:t xml:space="preserve"> 43 des causes les plus courantes d'infections sanguines et de résistance antimicrobienne associée directement à partir d'une hémoculture positive.</w:t>
      </w:r>
    </w:p>
    <w:p w14:paraId="5BB17C7A" w14:textId="77777777" w:rsidR="002F4EAD" w:rsidRPr="00014AF4" w:rsidRDefault="002F4EAD" w:rsidP="002F4EAD">
      <w:pPr>
        <w:pStyle w:val="ListParagraph"/>
        <w:numPr>
          <w:ilvl w:val="0"/>
          <w:numId w:val="4"/>
        </w:numPr>
        <w:spacing w:after="160"/>
        <w:rPr>
          <w:lang w:val="fr-CA"/>
        </w:rPr>
      </w:pPr>
      <w:r w:rsidRPr="00014AF4">
        <w:rPr>
          <w:lang w:val="fr-CA"/>
        </w:rPr>
        <w:t>BIOFIRE</w:t>
      </w:r>
      <w:r w:rsidRPr="005A6671">
        <w:rPr>
          <w:vertAlign w:val="superscript"/>
          <w:lang w:val="fr-CA"/>
        </w:rPr>
        <w:t>®</w:t>
      </w:r>
      <w:r w:rsidRPr="00014AF4">
        <w:rPr>
          <w:lang w:val="fr-CA"/>
        </w:rPr>
        <w:t xml:space="preserve"> Gastrointestinal (GI) Panel, identifi</w:t>
      </w:r>
      <w:r>
        <w:rPr>
          <w:lang w:val="fr-CA"/>
        </w:rPr>
        <w:t>e</w:t>
      </w:r>
      <w:r w:rsidRPr="00014AF4">
        <w:rPr>
          <w:lang w:val="fr-CA"/>
        </w:rPr>
        <w:t xml:space="preserve"> 22 des causes virales, bactériennes et parasitaires les plus courantes de diarrhée infectieuse directement à partir des selles dans les milieux de transport Cary Blair.</w:t>
      </w:r>
    </w:p>
    <w:p w14:paraId="4301423E" w14:textId="77777777" w:rsidR="002F4EAD" w:rsidRPr="00014AF4" w:rsidRDefault="002F4EAD" w:rsidP="002F4EAD">
      <w:pPr>
        <w:pStyle w:val="ListParagraph"/>
        <w:numPr>
          <w:ilvl w:val="0"/>
          <w:numId w:val="4"/>
        </w:numPr>
        <w:spacing w:after="160"/>
        <w:rPr>
          <w:lang w:val="fr-CA"/>
        </w:rPr>
      </w:pPr>
      <w:r w:rsidRPr="00014AF4">
        <w:rPr>
          <w:lang w:val="fr-CA"/>
        </w:rPr>
        <w:t>Panel BIOFIRE</w:t>
      </w:r>
      <w:r w:rsidRPr="005A6671">
        <w:rPr>
          <w:vertAlign w:val="superscript"/>
          <w:lang w:val="fr-CA"/>
        </w:rPr>
        <w:t>®</w:t>
      </w:r>
      <w:r w:rsidRPr="00014AF4">
        <w:rPr>
          <w:lang w:val="fr-CA"/>
        </w:rPr>
        <w:t xml:space="preserve"> Méningite/Encéphalite (ME), identifi</w:t>
      </w:r>
      <w:r>
        <w:rPr>
          <w:lang w:val="fr-CA"/>
        </w:rPr>
        <w:t xml:space="preserve">e </w:t>
      </w:r>
      <w:r w:rsidRPr="00014AF4">
        <w:rPr>
          <w:lang w:val="fr-CA"/>
        </w:rPr>
        <w:t>14 causes bactériennes, virales et fongiques de méningite et d'encéphalite directement à partir du liquide céphalo-rachidien.</w:t>
      </w:r>
    </w:p>
    <w:p w14:paraId="225709E9" w14:textId="77777777" w:rsidR="002F4EAD" w:rsidRPr="00014AF4" w:rsidRDefault="002F4EAD" w:rsidP="002F4EAD">
      <w:pPr>
        <w:pStyle w:val="ListParagraph"/>
        <w:numPr>
          <w:ilvl w:val="0"/>
          <w:numId w:val="4"/>
        </w:numPr>
        <w:spacing w:after="160"/>
        <w:rPr>
          <w:lang w:val="fr-CA"/>
        </w:rPr>
      </w:pPr>
      <w:r w:rsidRPr="00014AF4">
        <w:rPr>
          <w:lang w:val="fr-CA"/>
        </w:rPr>
        <w:t>Le panel BIOFIRE</w:t>
      </w:r>
      <w:r w:rsidRPr="005A6671">
        <w:rPr>
          <w:vertAlign w:val="superscript"/>
          <w:lang w:val="fr-CA"/>
        </w:rPr>
        <w:t>®</w:t>
      </w:r>
      <w:r w:rsidRPr="00014AF4">
        <w:rPr>
          <w:lang w:val="fr-CA"/>
        </w:rPr>
        <w:t xml:space="preserve"> Joint Infection (JI), identifi</w:t>
      </w:r>
      <w:r>
        <w:rPr>
          <w:lang w:val="fr-CA"/>
        </w:rPr>
        <w:t>e</w:t>
      </w:r>
      <w:r w:rsidRPr="00014AF4">
        <w:rPr>
          <w:lang w:val="fr-CA"/>
        </w:rPr>
        <w:t xml:space="preserve"> 31 causes courantes d'infections articulaires et 8 gènes de résistance aux antimicrobiens directement à partir du liquide synovial.</w:t>
      </w:r>
    </w:p>
    <w:p w14:paraId="0023EAC4" w14:textId="77777777" w:rsidR="002F4EAD" w:rsidRPr="001A2D33" w:rsidRDefault="002F4EAD" w:rsidP="002F4EAD">
      <w:pPr>
        <w:rPr>
          <w:lang w:val="fr-CA"/>
        </w:rPr>
      </w:pPr>
    </w:p>
    <w:p w14:paraId="755D139C" w14:textId="77777777" w:rsidR="00C75166" w:rsidRDefault="00C75166">
      <w:pPr>
        <w:rPr>
          <w:lang w:val="fr-CA"/>
        </w:rPr>
      </w:pPr>
      <w:r>
        <w:rPr>
          <w:lang w:val="fr-CA"/>
        </w:rPr>
        <w:br w:type="page"/>
      </w:r>
    </w:p>
    <w:p w14:paraId="6243E076" w14:textId="77777777" w:rsidR="00A02BCE" w:rsidRPr="00D374E6" w:rsidRDefault="00A02BCE" w:rsidP="00A02BCE">
      <w:pPr>
        <w:autoSpaceDE w:val="0"/>
        <w:autoSpaceDN w:val="0"/>
        <w:adjustRightInd w:val="0"/>
        <w:jc w:val="both"/>
        <w:rPr>
          <w:rFonts w:asciiTheme="minorHAnsi" w:hAnsiTheme="minorHAnsi" w:cstheme="minorHAnsi"/>
          <w:sz w:val="20"/>
          <w:szCs w:val="20"/>
          <w:lang w:val="it-IT" w:eastAsia="fr-FR"/>
        </w:rPr>
      </w:pPr>
    </w:p>
    <w:p w14:paraId="3A0EA9A0" w14:textId="77777777" w:rsidR="001B14D6" w:rsidRDefault="001B14D6" w:rsidP="001B14D6">
      <w:pPr>
        <w:shd w:val="clear" w:color="auto" w:fill="FFFFFF"/>
        <w:spacing w:after="60"/>
        <w:jc w:val="both"/>
        <w:rPr>
          <w:rFonts w:ascii="Arial Narrow" w:eastAsia="Arial Narrow" w:hAnsi="Arial Narrow" w:cs="Arial Narrow"/>
          <w:b/>
          <w:color w:val="222222"/>
          <w:sz w:val="24"/>
          <w:szCs w:val="24"/>
        </w:rPr>
      </w:pPr>
      <w:r>
        <w:rPr>
          <w:rFonts w:ascii="Arial Narrow" w:eastAsia="Arial Narrow" w:hAnsi="Arial Narrow" w:cs="Arial Narrow"/>
          <w:b/>
          <w:color w:val="222222"/>
          <w:sz w:val="24"/>
          <w:szCs w:val="24"/>
        </w:rPr>
        <w:t>BIOMÉRIEUX GAME CHANGER DEPUIS 60 ANS</w:t>
      </w:r>
    </w:p>
    <w:p w14:paraId="5F8E270E" w14:textId="77777777" w:rsidR="001B14D6" w:rsidRDefault="001B14D6" w:rsidP="001B14D6">
      <w:pPr>
        <w:shd w:val="clear" w:color="auto" w:fill="FFFFFF"/>
        <w:spacing w:after="60"/>
        <w:jc w:val="both"/>
        <w:rPr>
          <w:rFonts w:ascii="Arial Narrow" w:eastAsia="Arial Narrow" w:hAnsi="Arial Narrow" w:cs="Arial Narrow"/>
          <w:i/>
          <w:color w:val="222222"/>
        </w:rPr>
      </w:pPr>
      <w:r>
        <w:rPr>
          <w:rFonts w:ascii="Arial Narrow" w:eastAsia="Arial Narrow" w:hAnsi="Arial Narrow" w:cs="Arial Narrow"/>
          <w:i/>
          <w:color w:val="222222"/>
        </w:rPr>
        <w:t>Pioneering Diagnostics</w:t>
      </w:r>
    </w:p>
    <w:p w14:paraId="6B7D2C4F" w14:textId="77777777" w:rsidR="001B14D6" w:rsidRDefault="001B14D6" w:rsidP="001B14D6">
      <w:pPr>
        <w:shd w:val="clear" w:color="auto" w:fill="FFFFFF"/>
        <w:spacing w:after="60"/>
        <w:jc w:val="both"/>
        <w:rPr>
          <w:rFonts w:ascii="Arial Narrow" w:eastAsia="Arial Narrow" w:hAnsi="Arial Narrow" w:cs="Arial Narrow"/>
          <w:color w:val="222222"/>
        </w:rPr>
      </w:pPr>
      <w:r>
        <w:rPr>
          <w:rFonts w:ascii="Arial Narrow" w:eastAsia="Arial Narrow" w:hAnsi="Arial Narrow" w:cs="Arial Narrow"/>
          <w:color w:val="222222"/>
        </w:rPr>
        <w:t xml:space="preserve">Acteur mondial dans le domaine du diagnostic </w:t>
      </w:r>
      <w:r>
        <w:rPr>
          <w:rFonts w:ascii="Arial Narrow" w:eastAsia="Arial Narrow" w:hAnsi="Arial Narrow" w:cs="Arial Narrow"/>
          <w:i/>
          <w:color w:val="222222"/>
        </w:rPr>
        <w:t>in vitro</w:t>
      </w:r>
      <w:r>
        <w:rPr>
          <w:rFonts w:ascii="Arial Narrow" w:eastAsia="Arial Narrow" w:hAnsi="Arial Narrow" w:cs="Arial Narrow"/>
          <w:color w:val="222222"/>
        </w:rPr>
        <w:t xml:space="preserve"> depuis 1963, bioMérieux est présente dans 45 pays et sert plus de 160 pays avec un large réseau de distributeurs. En 2022, le chiffre d'affaires de bioMérieux s’est élevé à 3,6 milliards d'euros, dont plus de 90 % ont été réalisés à l’international (hors France).</w:t>
      </w:r>
    </w:p>
    <w:p w14:paraId="3C19C5F1" w14:textId="77777777" w:rsidR="001B14D6" w:rsidRDefault="001B14D6" w:rsidP="001B14D6">
      <w:pPr>
        <w:shd w:val="clear" w:color="auto" w:fill="FFFFFF"/>
        <w:jc w:val="both"/>
        <w:rPr>
          <w:rFonts w:ascii="Arial Narrow" w:eastAsia="Arial Narrow" w:hAnsi="Arial Narrow" w:cs="Arial Narrow"/>
          <w:color w:val="222222"/>
        </w:rPr>
      </w:pPr>
      <w:r>
        <w:rPr>
          <w:rFonts w:ascii="Arial Narrow" w:eastAsia="Arial Narrow" w:hAnsi="Arial Narrow" w:cs="Arial Narrow"/>
          <w:color w:val="222222"/>
        </w:rPr>
        <w:t>bioMérieux offre des solutions de diagnostic (systèmes, réactifs, logiciels et services) qui déterminent l’origine d’une maladie ou d’une contamination pour améliorer la santé des patients et assurer la sécurité des consommateurs. Ses produits sont utilisés principalement pour le diagnostic des maladies infectieuses. Ils sont également utilisés pour la détection de micro-organismes dans les produits agroalimentaires, pharmaceutiques et cosmétiques.</w:t>
      </w:r>
    </w:p>
    <w:p w14:paraId="43CB701D" w14:textId="77777777" w:rsidR="001B14D6" w:rsidRDefault="00000000" w:rsidP="001B14D6">
      <w:pPr>
        <w:shd w:val="clear" w:color="auto" w:fill="FFFFFF"/>
        <w:jc w:val="both"/>
        <w:rPr>
          <w:rFonts w:ascii="Arial Narrow" w:eastAsia="Arial Narrow" w:hAnsi="Arial Narrow" w:cs="Arial Narrow"/>
          <w:color w:val="1155CC"/>
          <w:u w:val="single"/>
        </w:rPr>
      </w:pPr>
      <w:hyperlink r:id="rId11">
        <w:r w:rsidR="001B14D6">
          <w:rPr>
            <w:rFonts w:ascii="Arial Narrow" w:eastAsia="Arial Narrow" w:hAnsi="Arial Narrow" w:cs="Arial Narrow"/>
            <w:color w:val="1155CC"/>
            <w:u w:val="single"/>
          </w:rPr>
          <w:t>www.biomerieux.com</w:t>
        </w:r>
      </w:hyperlink>
    </w:p>
    <w:p w14:paraId="0B2D83D4" w14:textId="77777777" w:rsidR="005679C6" w:rsidRDefault="005679C6" w:rsidP="005679C6">
      <w:pPr>
        <w:pStyle w:val="Normala"/>
        <w:spacing w:after="120"/>
        <w:ind w:right="0"/>
        <w:rPr>
          <w:rFonts w:ascii="Arial Narrow" w:hAnsi="Arial Narrow" w:cstheme="majorHAnsi"/>
          <w:sz w:val="22"/>
          <w:szCs w:val="22"/>
        </w:rPr>
      </w:pPr>
    </w:p>
    <w:p w14:paraId="06F9C5DA" w14:textId="77777777" w:rsidR="00AC2AC1" w:rsidRDefault="00AC2AC1" w:rsidP="005679C6">
      <w:pPr>
        <w:pStyle w:val="Normala"/>
        <w:spacing w:after="120"/>
        <w:ind w:right="0"/>
        <w:rPr>
          <w:rFonts w:ascii="Arial Narrow" w:hAnsi="Arial Narrow" w:cstheme="majorHAnsi"/>
          <w:sz w:val="22"/>
          <w:szCs w:val="22"/>
        </w:rPr>
      </w:pPr>
    </w:p>
    <w:p w14:paraId="561B1B07" w14:textId="77777777" w:rsidR="00AC2AC1" w:rsidRDefault="00AC2AC1" w:rsidP="005679C6">
      <w:pPr>
        <w:pStyle w:val="Normala"/>
        <w:spacing w:after="120"/>
        <w:ind w:right="0"/>
        <w:rPr>
          <w:rFonts w:ascii="Arial Narrow" w:hAnsi="Arial Narrow" w:cs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7"/>
        <w:gridCol w:w="8819"/>
      </w:tblGrid>
      <w:tr w:rsidR="005679C6" w:rsidRPr="00C923CC" w14:paraId="279B07BD" w14:textId="77777777" w:rsidTr="00C923CC">
        <w:tc>
          <w:tcPr>
            <w:tcW w:w="817" w:type="dxa"/>
            <w:hideMark/>
          </w:tcPr>
          <w:p w14:paraId="6C27042D" w14:textId="77777777" w:rsidR="005679C6" w:rsidRDefault="005679C6" w:rsidP="00C923CC">
            <w:pPr>
              <w:pStyle w:val="Normala"/>
              <w:spacing w:after="60"/>
              <w:ind w:right="0"/>
              <w:rPr>
                <w:rFonts w:ascii="Arial Narrow" w:hAnsi="Arial Narrow" w:cstheme="majorHAnsi"/>
                <w:sz w:val="22"/>
                <w:szCs w:val="22"/>
              </w:rPr>
            </w:pPr>
            <w:r>
              <w:rPr>
                <w:noProof/>
                <w:lang w:val="fr-FR" w:eastAsia="zh-CN" w:bidi="th-TH"/>
              </w:rPr>
              <w:drawing>
                <wp:inline distT="0" distB="0" distL="0" distR="0" wp14:anchorId="0184ADFD" wp14:editId="5A136B98">
                  <wp:extent cx="438785" cy="43878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2">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inline>
              </w:drawing>
            </w:r>
          </w:p>
        </w:tc>
        <w:tc>
          <w:tcPr>
            <w:tcW w:w="8819" w:type="dxa"/>
            <w:hideMark/>
          </w:tcPr>
          <w:p w14:paraId="4A28371A" w14:textId="77777777" w:rsidR="009946A9" w:rsidRPr="009B5D33" w:rsidRDefault="009946A9" w:rsidP="009946A9">
            <w:pPr>
              <w:pStyle w:val="Normala"/>
              <w:spacing w:after="0"/>
              <w:ind w:right="0"/>
              <w:rPr>
                <w:rFonts w:ascii="Arial Narrow" w:hAnsi="Arial Narrow" w:cstheme="majorHAnsi"/>
                <w:sz w:val="22"/>
                <w:szCs w:val="22"/>
                <w:lang w:val="fr-CA"/>
              </w:rPr>
            </w:pPr>
            <w:r w:rsidRPr="009B5D33">
              <w:rPr>
                <w:rFonts w:ascii="Arial Narrow" w:hAnsi="Arial Narrow" w:cstheme="majorHAnsi"/>
                <w:sz w:val="22"/>
                <w:szCs w:val="22"/>
                <w:lang w:val="fr-CA"/>
              </w:rPr>
              <w:t xml:space="preserve">bioMérieux est une société cotée sur Euronext Paris. </w:t>
            </w:r>
          </w:p>
          <w:p w14:paraId="03D6AA8E" w14:textId="77777777" w:rsidR="009946A9" w:rsidRPr="009B5D33" w:rsidRDefault="009946A9" w:rsidP="009946A9">
            <w:pPr>
              <w:pStyle w:val="Normala"/>
              <w:spacing w:after="0"/>
              <w:ind w:right="0"/>
              <w:rPr>
                <w:rFonts w:ascii="Arial Narrow" w:hAnsi="Arial Narrow" w:cstheme="majorHAnsi"/>
                <w:sz w:val="22"/>
                <w:szCs w:val="22"/>
                <w:lang w:val="fr-CA"/>
              </w:rPr>
            </w:pPr>
            <w:r w:rsidRPr="009B5D33">
              <w:rPr>
                <w:rFonts w:ascii="Arial Narrow" w:hAnsi="Arial Narrow" w:cstheme="majorHAnsi"/>
                <w:sz w:val="22"/>
                <w:szCs w:val="22"/>
                <w:lang w:val="fr-CA"/>
              </w:rPr>
              <w:t>Code : BIM - Code ISIN : FR0013280286</w:t>
            </w:r>
          </w:p>
          <w:p w14:paraId="31E48A51" w14:textId="60DB9CCE" w:rsidR="005679C6" w:rsidRDefault="009946A9" w:rsidP="00C923CC">
            <w:pPr>
              <w:pStyle w:val="Normala"/>
              <w:spacing w:after="0"/>
              <w:ind w:right="0"/>
              <w:rPr>
                <w:rFonts w:ascii="Arial Narrow" w:hAnsi="Arial Narrow" w:cstheme="majorHAnsi"/>
                <w:sz w:val="22"/>
                <w:szCs w:val="22"/>
              </w:rPr>
            </w:pPr>
            <w:r w:rsidRPr="009B5D33">
              <w:rPr>
                <w:rFonts w:ascii="Arial Narrow" w:hAnsi="Arial Narrow" w:cstheme="majorHAnsi"/>
                <w:sz w:val="22"/>
                <w:szCs w:val="22"/>
                <w:lang w:val="fr-CA"/>
              </w:rPr>
              <w:t>Reuters : BIOX.PA / Bloomberg : BIM.FP </w:t>
            </w:r>
          </w:p>
        </w:tc>
      </w:tr>
    </w:tbl>
    <w:p w14:paraId="1A7B0398" w14:textId="3D57E89C" w:rsidR="00B02ACF" w:rsidRDefault="00B02ACF" w:rsidP="00B02ACF">
      <w:pPr>
        <w:pStyle w:val="Normala"/>
        <w:ind w:right="0"/>
        <w:rPr>
          <w:rStyle w:val="Hyperlink"/>
        </w:rPr>
      </w:pPr>
    </w:p>
    <w:p w14:paraId="243C718F" w14:textId="77777777" w:rsidR="00B02ACF" w:rsidRDefault="00B02ACF" w:rsidP="00B02ACF">
      <w:pPr>
        <w:pStyle w:val="Normala"/>
        <w:ind w:right="0"/>
        <w:rPr>
          <w:rFonts w:ascii="Arial Narrow" w:hAnsi="Arial Narrow"/>
          <w:sz w:val="24"/>
        </w:rPr>
      </w:pPr>
    </w:p>
    <w:p w14:paraId="7C4596F0" w14:textId="7EFBFD96" w:rsidR="00B02ACF" w:rsidRPr="00456FDD" w:rsidRDefault="00B02ACF" w:rsidP="00456FDD">
      <w:pPr>
        <w:spacing w:after="60"/>
        <w:rPr>
          <w:rFonts w:ascii="Arial Narrow" w:hAnsi="Arial Narrow"/>
          <w:b/>
          <w:caps/>
          <w:sz w:val="24"/>
          <w:lang w:val="en-US"/>
        </w:rPr>
      </w:pPr>
      <w:r w:rsidRPr="00456FDD">
        <w:rPr>
          <w:rFonts w:ascii="Arial Narrow" w:hAnsi="Arial Narrow"/>
          <w:b/>
          <w:caps/>
          <w:sz w:val="24"/>
          <w:lang w:val="en-US"/>
        </w:rPr>
        <w:t>CONTACTS</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68"/>
        <w:gridCol w:w="2867"/>
        <w:gridCol w:w="2565"/>
      </w:tblGrid>
      <w:tr w:rsidR="001B14D6" w14:paraId="21F9C2DA" w14:textId="77777777" w:rsidTr="009D5163">
        <w:tc>
          <w:tcPr>
            <w:tcW w:w="3568" w:type="dxa"/>
            <w:tcBorders>
              <w:top w:val="nil"/>
              <w:left w:val="nil"/>
              <w:bottom w:val="nil"/>
              <w:right w:val="nil"/>
            </w:tcBorders>
            <w:hideMark/>
          </w:tcPr>
          <w:p w14:paraId="14BC6249" w14:textId="5F50387C" w:rsidR="001B14D6" w:rsidRPr="00456FDD" w:rsidRDefault="001B14D6">
            <w:pPr>
              <w:spacing w:after="60"/>
              <w:rPr>
                <w:rFonts w:ascii="Arial Narrow" w:hAnsi="Arial Narrow"/>
                <w:b/>
                <w:bCs/>
                <w:sz w:val="20"/>
                <w:szCs w:val="20"/>
              </w:rPr>
            </w:pPr>
            <w:r>
              <w:rPr>
                <w:rFonts w:ascii="Arial Narrow" w:hAnsi="Arial Narrow"/>
                <w:b/>
                <w:bCs/>
                <w:sz w:val="20"/>
                <w:szCs w:val="20"/>
              </w:rPr>
              <w:t>RELATIONS PRESSE</w:t>
            </w:r>
          </w:p>
        </w:tc>
        <w:tc>
          <w:tcPr>
            <w:tcW w:w="2867" w:type="dxa"/>
            <w:tcBorders>
              <w:top w:val="nil"/>
              <w:left w:val="nil"/>
              <w:bottom w:val="nil"/>
              <w:right w:val="nil"/>
            </w:tcBorders>
          </w:tcPr>
          <w:p w14:paraId="1A134FFB" w14:textId="77777777" w:rsidR="001B14D6" w:rsidRDefault="001B14D6">
            <w:pPr>
              <w:pStyle w:val="Heading7"/>
              <w:numPr>
                <w:ilvl w:val="0"/>
                <w:numId w:val="0"/>
              </w:numPr>
              <w:tabs>
                <w:tab w:val="left" w:pos="708"/>
              </w:tabs>
              <w:spacing w:after="60"/>
              <w:ind w:left="2160"/>
              <w:jc w:val="left"/>
              <w:rPr>
                <w:rFonts w:ascii="Arial Narrow" w:hAnsi="Arial Narrow" w:cs="Arial"/>
                <w:bCs w:val="0"/>
                <w:szCs w:val="22"/>
              </w:rPr>
            </w:pPr>
          </w:p>
        </w:tc>
        <w:tc>
          <w:tcPr>
            <w:tcW w:w="2565" w:type="dxa"/>
            <w:tcBorders>
              <w:top w:val="nil"/>
              <w:left w:val="nil"/>
              <w:bottom w:val="nil"/>
              <w:right w:val="nil"/>
            </w:tcBorders>
          </w:tcPr>
          <w:p w14:paraId="71F01245" w14:textId="77777777" w:rsidR="001B14D6" w:rsidRDefault="001B14D6">
            <w:pPr>
              <w:pStyle w:val="Heading7"/>
              <w:numPr>
                <w:ilvl w:val="0"/>
                <w:numId w:val="0"/>
              </w:numPr>
              <w:tabs>
                <w:tab w:val="left" w:pos="708"/>
              </w:tabs>
              <w:spacing w:after="60"/>
              <w:ind w:left="2160"/>
              <w:jc w:val="left"/>
              <w:rPr>
                <w:rFonts w:ascii="Arial Narrow" w:hAnsi="Arial Narrow" w:cs="Arial"/>
                <w:bCs w:val="0"/>
                <w:szCs w:val="22"/>
              </w:rPr>
            </w:pPr>
          </w:p>
        </w:tc>
      </w:tr>
      <w:tr w:rsidR="001B14D6" w14:paraId="2A4EBB6C" w14:textId="77777777" w:rsidTr="009D5163">
        <w:tc>
          <w:tcPr>
            <w:tcW w:w="3568" w:type="dxa"/>
            <w:tcBorders>
              <w:top w:val="nil"/>
              <w:left w:val="nil"/>
              <w:bottom w:val="nil"/>
              <w:right w:val="nil"/>
            </w:tcBorders>
            <w:hideMark/>
          </w:tcPr>
          <w:p w14:paraId="05B4DA53" w14:textId="46E05A59" w:rsidR="001B14D6" w:rsidRDefault="001B14D6" w:rsidP="001B14D6">
            <w:pPr>
              <w:rPr>
                <w:rFonts w:ascii="Arial Narrow" w:hAnsi="Arial Narrow"/>
                <w:b/>
                <w:bCs/>
                <w:i/>
              </w:rPr>
            </w:pPr>
            <w:r>
              <w:rPr>
                <w:rFonts w:ascii="Arial Narrow" w:hAnsi="Arial Narrow"/>
                <w:b/>
              </w:rPr>
              <w:t>bioMérieux Canada</w:t>
            </w:r>
          </w:p>
        </w:tc>
        <w:tc>
          <w:tcPr>
            <w:tcW w:w="2867" w:type="dxa"/>
            <w:tcBorders>
              <w:top w:val="nil"/>
              <w:left w:val="nil"/>
              <w:bottom w:val="nil"/>
              <w:right w:val="nil"/>
            </w:tcBorders>
          </w:tcPr>
          <w:p w14:paraId="06284D51" w14:textId="4DE4B755" w:rsidR="001B14D6" w:rsidRDefault="001B14D6" w:rsidP="001B14D6">
            <w:pPr>
              <w:rPr>
                <w:rFonts w:ascii="Arial Narrow" w:hAnsi="Arial Narrow"/>
                <w:b/>
                <w:bCs/>
              </w:rPr>
            </w:pPr>
            <w:r>
              <w:rPr>
                <w:rFonts w:ascii="Arial Narrow" w:hAnsi="Arial Narrow"/>
                <w:b/>
              </w:rPr>
              <w:t>Citoyen relations</w:t>
            </w:r>
          </w:p>
        </w:tc>
        <w:tc>
          <w:tcPr>
            <w:tcW w:w="2565" w:type="dxa"/>
            <w:tcBorders>
              <w:top w:val="nil"/>
              <w:left w:val="nil"/>
              <w:bottom w:val="nil"/>
              <w:right w:val="nil"/>
            </w:tcBorders>
          </w:tcPr>
          <w:p w14:paraId="532AC184" w14:textId="77777777" w:rsidR="001B14D6" w:rsidRDefault="001B14D6" w:rsidP="001B14D6">
            <w:pPr>
              <w:rPr>
                <w:rFonts w:ascii="Arial Narrow" w:hAnsi="Arial Narrow"/>
                <w:b/>
                <w:bCs/>
              </w:rPr>
            </w:pPr>
          </w:p>
        </w:tc>
      </w:tr>
      <w:tr w:rsidR="001B14D6" w14:paraId="75FBE3D2" w14:textId="77777777" w:rsidTr="009D5163">
        <w:tc>
          <w:tcPr>
            <w:tcW w:w="3568" w:type="dxa"/>
            <w:tcBorders>
              <w:top w:val="nil"/>
              <w:left w:val="nil"/>
              <w:bottom w:val="nil"/>
              <w:right w:val="nil"/>
            </w:tcBorders>
            <w:hideMark/>
          </w:tcPr>
          <w:p w14:paraId="2978E93D" w14:textId="4593F69C" w:rsidR="001B14D6" w:rsidRDefault="001B14D6" w:rsidP="001B14D6">
            <w:pPr>
              <w:rPr>
                <w:rFonts w:ascii="Arial Narrow" w:hAnsi="Arial Narrow"/>
              </w:rPr>
            </w:pPr>
            <w:r>
              <w:rPr>
                <w:rFonts w:ascii="Arial Narrow" w:hAnsi="Arial Narrow"/>
              </w:rPr>
              <w:t>Meriem Benziane</w:t>
            </w:r>
          </w:p>
        </w:tc>
        <w:tc>
          <w:tcPr>
            <w:tcW w:w="2867" w:type="dxa"/>
            <w:tcBorders>
              <w:top w:val="nil"/>
              <w:left w:val="nil"/>
              <w:bottom w:val="nil"/>
              <w:right w:val="nil"/>
            </w:tcBorders>
          </w:tcPr>
          <w:p w14:paraId="1E989C2F" w14:textId="0D3BD5FC" w:rsidR="001B14D6" w:rsidRDefault="001B14D6" w:rsidP="001B14D6">
            <w:pPr>
              <w:rPr>
                <w:rFonts w:ascii="Arial Narrow" w:hAnsi="Arial Narrow"/>
              </w:rPr>
            </w:pPr>
            <w:r>
              <w:rPr>
                <w:rFonts w:ascii="Arial Narrow" w:hAnsi="Arial Narrow"/>
              </w:rPr>
              <w:t>Raphaël Boies</w:t>
            </w:r>
          </w:p>
        </w:tc>
        <w:tc>
          <w:tcPr>
            <w:tcW w:w="2565" w:type="dxa"/>
            <w:tcBorders>
              <w:top w:val="nil"/>
              <w:left w:val="nil"/>
              <w:bottom w:val="nil"/>
              <w:right w:val="nil"/>
            </w:tcBorders>
          </w:tcPr>
          <w:p w14:paraId="5FAC7470" w14:textId="77777777" w:rsidR="001B14D6" w:rsidRDefault="001B14D6" w:rsidP="001B14D6">
            <w:pPr>
              <w:rPr>
                <w:rFonts w:ascii="Arial Narrow" w:hAnsi="Arial Narrow"/>
              </w:rPr>
            </w:pPr>
          </w:p>
        </w:tc>
      </w:tr>
      <w:tr w:rsidR="001B14D6" w14:paraId="0A110F16" w14:textId="77777777" w:rsidTr="009D5163">
        <w:tc>
          <w:tcPr>
            <w:tcW w:w="3568" w:type="dxa"/>
            <w:tcBorders>
              <w:top w:val="nil"/>
              <w:left w:val="nil"/>
              <w:bottom w:val="nil"/>
              <w:right w:val="nil"/>
            </w:tcBorders>
            <w:hideMark/>
          </w:tcPr>
          <w:p w14:paraId="5B5FE826" w14:textId="3FBE0A9E" w:rsidR="001B14D6" w:rsidRDefault="001B14D6" w:rsidP="001B14D6">
            <w:pPr>
              <w:rPr>
                <w:rFonts w:ascii="Arial Narrow" w:hAnsi="Arial Narrow"/>
              </w:rPr>
            </w:pPr>
            <w:r>
              <w:rPr>
                <w:rFonts w:ascii="Arial Narrow" w:hAnsi="Arial Narrow"/>
              </w:rPr>
              <w:t>Tel.: +1(514) 409-8127</w:t>
            </w:r>
          </w:p>
        </w:tc>
        <w:tc>
          <w:tcPr>
            <w:tcW w:w="2867" w:type="dxa"/>
            <w:tcBorders>
              <w:top w:val="nil"/>
              <w:left w:val="nil"/>
              <w:bottom w:val="nil"/>
              <w:right w:val="nil"/>
            </w:tcBorders>
          </w:tcPr>
          <w:p w14:paraId="0959D333" w14:textId="78B59A58" w:rsidR="001B14D6" w:rsidRDefault="001B14D6" w:rsidP="001B14D6">
            <w:pPr>
              <w:rPr>
                <w:rFonts w:ascii="Arial Narrow" w:hAnsi="Arial Narrow"/>
              </w:rPr>
            </w:pPr>
            <w:r>
              <w:rPr>
                <w:rFonts w:ascii="Arial Narrow" w:hAnsi="Arial Narrow"/>
              </w:rPr>
              <w:t>Tel.: +1(581) 888-2845</w:t>
            </w:r>
          </w:p>
        </w:tc>
        <w:tc>
          <w:tcPr>
            <w:tcW w:w="2565" w:type="dxa"/>
            <w:tcBorders>
              <w:top w:val="nil"/>
              <w:left w:val="nil"/>
              <w:bottom w:val="nil"/>
              <w:right w:val="nil"/>
            </w:tcBorders>
          </w:tcPr>
          <w:p w14:paraId="5607F363" w14:textId="77777777" w:rsidR="001B14D6" w:rsidRDefault="001B14D6" w:rsidP="001B14D6">
            <w:pPr>
              <w:rPr>
                <w:rFonts w:ascii="Arial Narrow" w:hAnsi="Arial Narrow"/>
              </w:rPr>
            </w:pPr>
          </w:p>
        </w:tc>
      </w:tr>
      <w:tr w:rsidR="001B14D6" w14:paraId="1FCB426F" w14:textId="77777777" w:rsidTr="009D5163">
        <w:tc>
          <w:tcPr>
            <w:tcW w:w="3568" w:type="dxa"/>
            <w:tcBorders>
              <w:top w:val="nil"/>
              <w:left w:val="nil"/>
              <w:bottom w:val="nil"/>
              <w:right w:val="nil"/>
            </w:tcBorders>
            <w:hideMark/>
          </w:tcPr>
          <w:p w14:paraId="4B7C649B" w14:textId="2FD51F2D" w:rsidR="001B14D6" w:rsidRDefault="001B14D6" w:rsidP="001B14D6">
            <w:pPr>
              <w:rPr>
                <w:rFonts w:ascii="Arial Narrow" w:hAnsi="Arial Narrow"/>
              </w:rPr>
            </w:pPr>
            <w:r>
              <w:rPr>
                <w:rFonts w:ascii="Arial Narrow" w:hAnsi="Arial Narrow"/>
              </w:rPr>
              <w:t xml:space="preserve">meriem.benziane@biomerieux.com </w:t>
            </w:r>
          </w:p>
        </w:tc>
        <w:tc>
          <w:tcPr>
            <w:tcW w:w="2867" w:type="dxa"/>
            <w:tcBorders>
              <w:top w:val="nil"/>
              <w:left w:val="nil"/>
              <w:bottom w:val="nil"/>
              <w:right w:val="nil"/>
            </w:tcBorders>
          </w:tcPr>
          <w:p w14:paraId="7E2C6F30" w14:textId="7ACA4C09" w:rsidR="001B14D6" w:rsidRDefault="001B14D6" w:rsidP="001B14D6">
            <w:pPr>
              <w:rPr>
                <w:rFonts w:ascii="Arial Narrow" w:hAnsi="Arial Narrow"/>
              </w:rPr>
            </w:pPr>
            <w:r>
              <w:rPr>
                <w:rFonts w:ascii="Arial Narrow" w:hAnsi="Arial Narrow"/>
              </w:rPr>
              <w:t>raphael.boies@citoyen.com</w:t>
            </w:r>
          </w:p>
        </w:tc>
        <w:tc>
          <w:tcPr>
            <w:tcW w:w="2565" w:type="dxa"/>
            <w:tcBorders>
              <w:top w:val="nil"/>
              <w:left w:val="nil"/>
              <w:bottom w:val="nil"/>
              <w:right w:val="nil"/>
            </w:tcBorders>
          </w:tcPr>
          <w:p w14:paraId="09B27F53" w14:textId="77777777" w:rsidR="001B14D6" w:rsidRDefault="001B14D6" w:rsidP="001B14D6">
            <w:pPr>
              <w:rPr>
                <w:rFonts w:ascii="Arial Narrow" w:hAnsi="Arial Narrow"/>
              </w:rPr>
            </w:pPr>
          </w:p>
        </w:tc>
      </w:tr>
      <w:tr w:rsidR="001B14D6" w14:paraId="2824A27A" w14:textId="77777777" w:rsidTr="009D5163">
        <w:tc>
          <w:tcPr>
            <w:tcW w:w="3568" w:type="dxa"/>
            <w:tcBorders>
              <w:top w:val="nil"/>
              <w:left w:val="nil"/>
              <w:bottom w:val="nil"/>
              <w:right w:val="nil"/>
            </w:tcBorders>
          </w:tcPr>
          <w:p w14:paraId="53C06767" w14:textId="77777777" w:rsidR="001B14D6" w:rsidRDefault="001B14D6">
            <w:pPr>
              <w:rPr>
                <w:rFonts w:ascii="Arial Narrow" w:hAnsi="Arial Narrow"/>
                <w:b/>
                <w:i/>
              </w:rPr>
            </w:pPr>
          </w:p>
        </w:tc>
        <w:tc>
          <w:tcPr>
            <w:tcW w:w="2867" w:type="dxa"/>
            <w:tcBorders>
              <w:top w:val="nil"/>
              <w:left w:val="nil"/>
              <w:bottom w:val="nil"/>
              <w:right w:val="nil"/>
            </w:tcBorders>
          </w:tcPr>
          <w:p w14:paraId="174BB469" w14:textId="77777777" w:rsidR="001B14D6" w:rsidRDefault="001B14D6">
            <w:pPr>
              <w:jc w:val="right"/>
              <w:rPr>
                <w:rFonts w:ascii="Arial Narrow" w:hAnsi="Arial Narrow"/>
              </w:rPr>
            </w:pPr>
          </w:p>
        </w:tc>
        <w:tc>
          <w:tcPr>
            <w:tcW w:w="2565" w:type="dxa"/>
            <w:tcBorders>
              <w:top w:val="nil"/>
              <w:left w:val="nil"/>
              <w:bottom w:val="nil"/>
              <w:right w:val="nil"/>
            </w:tcBorders>
          </w:tcPr>
          <w:p w14:paraId="4E54D964" w14:textId="77777777" w:rsidR="001B14D6" w:rsidRDefault="001B14D6">
            <w:pPr>
              <w:rPr>
                <w:rFonts w:ascii="Arial Narrow" w:hAnsi="Arial Narrow"/>
              </w:rPr>
            </w:pPr>
          </w:p>
        </w:tc>
      </w:tr>
      <w:tr w:rsidR="001B14D6" w14:paraId="2920C301" w14:textId="77777777" w:rsidTr="005B7C17">
        <w:tc>
          <w:tcPr>
            <w:tcW w:w="3568" w:type="dxa"/>
            <w:tcBorders>
              <w:top w:val="nil"/>
              <w:left w:val="nil"/>
              <w:bottom w:val="nil"/>
              <w:right w:val="nil"/>
            </w:tcBorders>
          </w:tcPr>
          <w:p w14:paraId="2079F14C" w14:textId="4E01F312" w:rsidR="001B14D6" w:rsidRDefault="001B14D6">
            <w:pPr>
              <w:spacing w:after="60"/>
              <w:rPr>
                <w:rFonts w:ascii="Arial Narrow" w:hAnsi="Arial Narrow"/>
              </w:rPr>
            </w:pPr>
          </w:p>
        </w:tc>
        <w:tc>
          <w:tcPr>
            <w:tcW w:w="2867" w:type="dxa"/>
            <w:tcBorders>
              <w:top w:val="nil"/>
              <w:left w:val="nil"/>
              <w:bottom w:val="nil"/>
              <w:right w:val="nil"/>
            </w:tcBorders>
          </w:tcPr>
          <w:p w14:paraId="012AB553" w14:textId="77777777" w:rsidR="001B14D6" w:rsidRDefault="001B14D6">
            <w:pPr>
              <w:pStyle w:val="Heading7"/>
              <w:numPr>
                <w:ilvl w:val="0"/>
                <w:numId w:val="0"/>
              </w:numPr>
              <w:tabs>
                <w:tab w:val="left" w:pos="708"/>
              </w:tabs>
              <w:spacing w:after="60"/>
              <w:ind w:left="2160"/>
              <w:jc w:val="center"/>
              <w:rPr>
                <w:rFonts w:ascii="Arial Narrow" w:hAnsi="Arial Narrow" w:cs="Arial"/>
                <w:szCs w:val="22"/>
              </w:rPr>
            </w:pPr>
          </w:p>
        </w:tc>
        <w:tc>
          <w:tcPr>
            <w:tcW w:w="2565" w:type="dxa"/>
            <w:tcBorders>
              <w:top w:val="nil"/>
              <w:left w:val="nil"/>
              <w:bottom w:val="nil"/>
              <w:right w:val="nil"/>
            </w:tcBorders>
          </w:tcPr>
          <w:p w14:paraId="5E7AD3EB" w14:textId="77777777" w:rsidR="001B14D6" w:rsidRDefault="001B14D6">
            <w:pPr>
              <w:pStyle w:val="Heading7"/>
              <w:numPr>
                <w:ilvl w:val="0"/>
                <w:numId w:val="0"/>
              </w:numPr>
              <w:tabs>
                <w:tab w:val="left" w:pos="708"/>
              </w:tabs>
              <w:spacing w:after="60"/>
              <w:ind w:left="2160"/>
              <w:jc w:val="left"/>
              <w:rPr>
                <w:rFonts w:ascii="Arial Narrow" w:hAnsi="Arial Narrow" w:cs="Arial"/>
                <w:szCs w:val="22"/>
              </w:rPr>
            </w:pPr>
          </w:p>
        </w:tc>
      </w:tr>
    </w:tbl>
    <w:p w14:paraId="0C040BDB" w14:textId="4BF16806" w:rsidR="005D5ADF" w:rsidRPr="00694ABB" w:rsidRDefault="005D5ADF" w:rsidP="00B02ACF">
      <w:pPr>
        <w:pStyle w:val="NormalaMajuscule"/>
        <w:spacing w:after="60"/>
        <w:ind w:right="0"/>
        <w:rPr>
          <w:sz w:val="18"/>
          <w:szCs w:val="18"/>
        </w:rPr>
      </w:pPr>
    </w:p>
    <w:sectPr w:rsidR="005D5ADF" w:rsidRPr="00694ABB" w:rsidSect="00242218">
      <w:headerReference w:type="default" r:id="rId13"/>
      <w:headerReference w:type="first" r:id="rId14"/>
      <w:footerReference w:type="first" r:id="rId15"/>
      <w:pgSz w:w="11906" w:h="16838"/>
      <w:pgMar w:top="2194" w:right="1418" w:bottom="851" w:left="1985"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A7E11" w14:textId="77777777" w:rsidR="006E156A" w:rsidRDefault="006E156A" w:rsidP="004C5B41">
      <w:r>
        <w:separator/>
      </w:r>
    </w:p>
  </w:endnote>
  <w:endnote w:type="continuationSeparator" w:id="0">
    <w:p w14:paraId="7F8F0087" w14:textId="77777777" w:rsidR="006E156A" w:rsidRDefault="006E156A" w:rsidP="004C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4B84" w14:textId="6B79372A" w:rsidR="00563DEE" w:rsidRDefault="00242218">
    <w:pPr>
      <w:pStyle w:val="Footer"/>
    </w:pPr>
    <w:r w:rsidRPr="00BF132F">
      <w:rPr>
        <w:noProof/>
        <w:lang w:eastAsia="zh-CN" w:bidi="th-TH"/>
      </w:rPr>
      <w:drawing>
        <wp:anchor distT="0" distB="0" distL="114300" distR="114300" simplePos="0" relativeHeight="251661312" behindDoc="1" locked="1" layoutInCell="0" allowOverlap="0" wp14:anchorId="2446450A" wp14:editId="0EDD3F39">
          <wp:simplePos x="0" y="0"/>
          <wp:positionH relativeFrom="page">
            <wp:posOffset>478790</wp:posOffset>
          </wp:positionH>
          <wp:positionV relativeFrom="page">
            <wp:posOffset>3352800</wp:posOffset>
          </wp:positionV>
          <wp:extent cx="896620" cy="6933565"/>
          <wp:effectExtent l="0" t="0" r="0" b="0"/>
          <wp:wrapNone/>
          <wp:docPr id="1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6"/>
                  <pic:cNvPicPr/>
                </pic:nvPicPr>
                <pic:blipFill>
                  <a:blip r:embed="rId1"/>
                  <a:stretch>
                    <a:fillRect/>
                  </a:stretch>
                </pic:blipFill>
                <pic:spPr>
                  <a:xfrm>
                    <a:off x="0" y="0"/>
                    <a:ext cx="896620" cy="69335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114A6" w14:textId="77777777" w:rsidR="006E156A" w:rsidRDefault="006E156A" w:rsidP="004C5B41">
      <w:r>
        <w:separator/>
      </w:r>
    </w:p>
  </w:footnote>
  <w:footnote w:type="continuationSeparator" w:id="0">
    <w:p w14:paraId="778A1F6F" w14:textId="77777777" w:rsidR="006E156A" w:rsidRDefault="006E156A" w:rsidP="004C5B41">
      <w:r>
        <w:continuationSeparator/>
      </w:r>
    </w:p>
  </w:footnote>
  <w:footnote w:id="1">
    <w:p w14:paraId="53C29A9D" w14:textId="77777777" w:rsidR="002F4EAD" w:rsidRPr="005A6671" w:rsidRDefault="002F4EAD" w:rsidP="002F4EAD">
      <w:pPr>
        <w:pStyle w:val="FootnoteText"/>
        <w:rPr>
          <w:sz w:val="16"/>
          <w:szCs w:val="16"/>
        </w:rPr>
      </w:pPr>
      <w:r w:rsidRPr="005A6671">
        <w:rPr>
          <w:rStyle w:val="FootnoteReference"/>
          <w:sz w:val="16"/>
          <w:szCs w:val="16"/>
        </w:rPr>
        <w:footnoteRef/>
      </w:r>
      <w:r w:rsidRPr="005A6671">
        <w:rPr>
          <w:sz w:val="16"/>
          <w:szCs w:val="16"/>
        </w:rPr>
        <w:t xml:space="preserve"> </w:t>
      </w:r>
      <w:bookmarkStart w:id="0" w:name="_Hlk139277434"/>
      <w:r w:rsidRPr="005A6671">
        <w:rPr>
          <w:sz w:val="16"/>
          <w:szCs w:val="16"/>
        </w:rPr>
        <w:t>Canadian Institute for Health Information. Early Revisions of Hip and Knee Replacements in Canada: A Quality, Productivity and Capacity Issue. Ottawa, ON: CIHI; 2020.</w:t>
      </w:r>
      <w:bookmarkEnd w:id="0"/>
    </w:p>
  </w:footnote>
  <w:footnote w:id="2">
    <w:p w14:paraId="6BB249A8" w14:textId="77777777" w:rsidR="002F4EAD" w:rsidRPr="005A6671" w:rsidRDefault="002F4EAD" w:rsidP="002F4EAD">
      <w:pPr>
        <w:pStyle w:val="FootnoteText"/>
        <w:rPr>
          <w:sz w:val="16"/>
          <w:szCs w:val="16"/>
        </w:rPr>
      </w:pPr>
      <w:r w:rsidRPr="005A6671">
        <w:rPr>
          <w:rStyle w:val="FootnoteReference"/>
          <w:sz w:val="16"/>
          <w:szCs w:val="16"/>
        </w:rPr>
        <w:footnoteRef/>
      </w:r>
      <w:r w:rsidRPr="005A6671">
        <w:rPr>
          <w:sz w:val="16"/>
          <w:szCs w:val="16"/>
        </w:rPr>
        <w:t xml:space="preserve"> </w:t>
      </w:r>
      <w:bookmarkStart w:id="1" w:name="_Hlk139277583"/>
      <w:r w:rsidRPr="005A6671">
        <w:rPr>
          <w:sz w:val="16"/>
          <w:szCs w:val="16"/>
        </w:rPr>
        <w:fldChar w:fldCharType="begin"/>
      </w:r>
      <w:r w:rsidRPr="005A6671">
        <w:rPr>
          <w:sz w:val="16"/>
          <w:szCs w:val="16"/>
        </w:rPr>
        <w:instrText xml:space="preserve"> HYPERLINK "https://www.ncbi.nlm.nih.gov/pubmed/28366221" \t "_blank" </w:instrText>
      </w:r>
      <w:r w:rsidRPr="005A6671">
        <w:rPr>
          <w:sz w:val="16"/>
          <w:szCs w:val="16"/>
        </w:rPr>
      </w:r>
      <w:r w:rsidRPr="005A6671">
        <w:rPr>
          <w:sz w:val="16"/>
          <w:szCs w:val="16"/>
        </w:rPr>
        <w:fldChar w:fldCharType="separate"/>
      </w:r>
      <w:r w:rsidRPr="005A6671">
        <w:rPr>
          <w:sz w:val="16"/>
          <w:szCs w:val="16"/>
        </w:rPr>
        <w:t>Ross JJ</w:t>
      </w:r>
      <w:r w:rsidRPr="005A6671">
        <w:rPr>
          <w:sz w:val="16"/>
          <w:szCs w:val="16"/>
        </w:rPr>
        <w:fldChar w:fldCharType="end"/>
      </w:r>
      <w:r w:rsidRPr="005A6671">
        <w:rPr>
          <w:sz w:val="16"/>
          <w:szCs w:val="16"/>
        </w:rPr>
        <w:t>: Septic arthritis of native joints. Infect Dis Clin North Am 31(2): 203−218, 2017. Epub 2017 Mar 30. doi: 10.1016/j.idc.2017.01.001</w:t>
      </w:r>
      <w:bookmarkEnd w:id="1"/>
    </w:p>
  </w:footnote>
  <w:footnote w:id="3">
    <w:p w14:paraId="31C09CF5" w14:textId="77777777" w:rsidR="002F4EAD" w:rsidRPr="005A6671" w:rsidRDefault="002F4EAD" w:rsidP="002F4EAD">
      <w:pPr>
        <w:pStyle w:val="FootnoteText"/>
        <w:rPr>
          <w:sz w:val="16"/>
          <w:szCs w:val="16"/>
        </w:rPr>
      </w:pPr>
      <w:r w:rsidRPr="005A6671">
        <w:rPr>
          <w:rStyle w:val="FootnoteReference"/>
          <w:sz w:val="16"/>
          <w:szCs w:val="16"/>
        </w:rPr>
        <w:footnoteRef/>
      </w:r>
      <w:r w:rsidRPr="005A6671">
        <w:rPr>
          <w:sz w:val="16"/>
          <w:szCs w:val="16"/>
        </w:rPr>
        <w:t xml:space="preserve"> Hassan AS, Rao A, Manadan AM, Block JA. Peripheral Bacterial Septic Arthritis: Review of Diagnosis and Management. J Clin Rheumatol. 2017 Dec;23(8):435-442. doi: 10.1097/RHU.0000000000000588. PMID: 28926460.</w:t>
      </w:r>
    </w:p>
  </w:footnote>
  <w:footnote w:id="4">
    <w:p w14:paraId="45521E46" w14:textId="77777777" w:rsidR="002F4EAD" w:rsidRPr="005A6671" w:rsidRDefault="002F4EAD" w:rsidP="002F4EAD">
      <w:pPr>
        <w:pStyle w:val="FootnoteText"/>
        <w:rPr>
          <w:sz w:val="16"/>
          <w:szCs w:val="16"/>
        </w:rPr>
      </w:pPr>
      <w:r w:rsidRPr="005A6671">
        <w:rPr>
          <w:rStyle w:val="FootnoteReference"/>
          <w:sz w:val="16"/>
          <w:szCs w:val="16"/>
        </w:rPr>
        <w:footnoteRef/>
      </w:r>
      <w:r w:rsidRPr="005A6671">
        <w:rPr>
          <w:sz w:val="16"/>
          <w:szCs w:val="16"/>
        </w:rPr>
        <w:t xml:space="preserve"> </w:t>
      </w:r>
      <w:hyperlink r:id="rId1" w:anchor="a7" w:history="1">
        <w:r w:rsidRPr="005A6671">
          <w:rPr>
            <w:rStyle w:val="Hyperlink"/>
            <w:sz w:val="16"/>
            <w:szCs w:val="16"/>
          </w:rPr>
          <w:t>Septic Arthritis: Background, Etiology and Pathophysiology, Prognosis (medscape.com)</w:t>
        </w:r>
      </w:hyperlink>
    </w:p>
  </w:footnote>
  <w:footnote w:id="5">
    <w:p w14:paraId="7A6030E7" w14:textId="77777777" w:rsidR="002F4EAD" w:rsidRPr="005A6671" w:rsidRDefault="002F4EAD" w:rsidP="002F4EAD">
      <w:pPr>
        <w:pStyle w:val="FootnoteText"/>
        <w:rPr>
          <w:rFonts w:asciiTheme="majorHAnsi" w:hAnsiTheme="majorHAnsi" w:cstheme="majorHAnsi"/>
          <w:sz w:val="16"/>
          <w:szCs w:val="16"/>
        </w:rPr>
      </w:pPr>
      <w:r w:rsidRPr="005A6671">
        <w:rPr>
          <w:rStyle w:val="FootnoteReference"/>
          <w:rFonts w:asciiTheme="majorHAnsi" w:hAnsiTheme="majorHAnsi" w:cstheme="majorHAnsi"/>
          <w:sz w:val="16"/>
          <w:szCs w:val="16"/>
        </w:rPr>
        <w:footnoteRef/>
      </w:r>
      <w:r w:rsidRPr="005A6671">
        <w:rPr>
          <w:rFonts w:asciiTheme="majorHAnsi" w:hAnsiTheme="majorHAnsi" w:cstheme="majorHAnsi"/>
          <w:sz w:val="16"/>
          <w:szCs w:val="16"/>
        </w:rPr>
        <w:t xml:space="preserve"> Anisi, CO; Abang, IE; Osakwe, OG1; Asuquo, JE. Diagnostic challenges in the management of septic arthritis of the neonatal hip: A case report. Nigerian Journal of Clinical Practice 25(11):p 1936-1938, November 2022. | DOI: 10.4103/njcp.njcp_261_22</w:t>
      </w:r>
    </w:p>
  </w:footnote>
  <w:footnote w:id="6">
    <w:p w14:paraId="57410713" w14:textId="77777777" w:rsidR="002F4EAD" w:rsidRPr="005A6671" w:rsidRDefault="002F4EAD" w:rsidP="002F4EAD">
      <w:pPr>
        <w:pStyle w:val="FootnoteText"/>
        <w:rPr>
          <w:rFonts w:asciiTheme="majorHAnsi" w:hAnsiTheme="majorHAnsi" w:cstheme="majorHAnsi"/>
          <w:sz w:val="16"/>
          <w:szCs w:val="16"/>
          <w:lang w:val="fr-CA"/>
        </w:rPr>
      </w:pPr>
      <w:r w:rsidRPr="005A6671">
        <w:rPr>
          <w:rStyle w:val="FootnoteReference"/>
          <w:rFonts w:asciiTheme="majorHAnsi" w:hAnsiTheme="majorHAnsi" w:cstheme="majorHAnsi"/>
          <w:sz w:val="16"/>
          <w:szCs w:val="16"/>
        </w:rPr>
        <w:footnoteRef/>
      </w:r>
      <w:r w:rsidRPr="005A6671">
        <w:rPr>
          <w:rFonts w:asciiTheme="majorHAnsi" w:hAnsiTheme="majorHAnsi" w:cstheme="majorHAnsi"/>
          <w:sz w:val="16"/>
          <w:szCs w:val="16"/>
        </w:rPr>
        <w:t xml:space="preserve"> </w:t>
      </w:r>
      <w:r w:rsidRPr="005A6671">
        <w:rPr>
          <w:rFonts w:asciiTheme="majorHAnsi" w:hAnsiTheme="majorHAnsi" w:cstheme="majorHAnsi"/>
          <w:color w:val="212121"/>
          <w:sz w:val="16"/>
          <w:szCs w:val="16"/>
          <w:shd w:val="clear" w:color="auto" w:fill="FFFFFF"/>
        </w:rPr>
        <w:t>Khattak M, Vellathussery Chakkalakumbil S, Stevenson RA, Bryson DJ, Reidy MJ, Talbot CL, George H. </w:t>
      </w:r>
      <w:r w:rsidRPr="005A6671">
        <w:rPr>
          <w:rFonts w:asciiTheme="majorHAnsi" w:hAnsiTheme="majorHAnsi" w:cstheme="majorHAnsi"/>
          <w:i/>
          <w:iCs/>
          <w:color w:val="212121"/>
          <w:sz w:val="16"/>
          <w:szCs w:val="16"/>
          <w:shd w:val="clear" w:color="auto" w:fill="FFFFFF"/>
        </w:rPr>
        <w:t>Kingella kingae</w:t>
      </w:r>
      <w:r w:rsidRPr="005A6671">
        <w:rPr>
          <w:rFonts w:asciiTheme="majorHAnsi" w:hAnsiTheme="majorHAnsi" w:cstheme="majorHAnsi"/>
          <w:color w:val="212121"/>
          <w:sz w:val="16"/>
          <w:szCs w:val="16"/>
          <w:shd w:val="clear" w:color="auto" w:fill="FFFFFF"/>
        </w:rPr>
        <w:t xml:space="preserve"> septic arthritis. </w:t>
      </w:r>
      <w:r w:rsidRPr="005A6671">
        <w:rPr>
          <w:rFonts w:asciiTheme="majorHAnsi" w:hAnsiTheme="majorHAnsi" w:cstheme="majorHAnsi"/>
          <w:color w:val="212121"/>
          <w:sz w:val="16"/>
          <w:szCs w:val="16"/>
          <w:shd w:val="clear" w:color="auto" w:fill="FFFFFF"/>
          <w:lang w:val="fr-CA"/>
        </w:rPr>
        <w:t xml:space="preserve">Bone Joint J. 2021 Mar;103-B(3):584-588. doi: 10.1302/0301-620X.103B3.BJJ-2020-0800.R1. </w:t>
      </w:r>
      <w:r w:rsidRPr="005A6671">
        <w:rPr>
          <w:rFonts w:asciiTheme="majorHAnsi" w:hAnsiTheme="majorHAnsi" w:cstheme="majorHAnsi"/>
          <w:color w:val="212121"/>
          <w:sz w:val="16"/>
          <w:szCs w:val="16"/>
          <w:shd w:val="clear" w:color="auto" w:fill="FFFFFF"/>
        </w:rPr>
        <w:t>PMID: 33641413.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9C28" w14:textId="65AF8340" w:rsidR="00242218" w:rsidRDefault="009D6984">
    <w:pPr>
      <w:pStyle w:val="Header"/>
    </w:pPr>
    <w:r w:rsidRPr="00242218">
      <w:rPr>
        <w:noProof/>
        <w:lang w:eastAsia="zh-CN" w:bidi="th-TH"/>
      </w:rPr>
      <w:drawing>
        <wp:anchor distT="0" distB="0" distL="114300" distR="114300" simplePos="0" relativeHeight="251663360" behindDoc="1" locked="0" layoutInCell="0" allowOverlap="0" wp14:anchorId="0BAB4AA2" wp14:editId="70B8083E">
          <wp:simplePos x="0" y="0"/>
          <wp:positionH relativeFrom="page">
            <wp:posOffset>478790</wp:posOffset>
          </wp:positionH>
          <wp:positionV relativeFrom="page">
            <wp:posOffset>3352800</wp:posOffset>
          </wp:positionV>
          <wp:extent cx="896620" cy="6933565"/>
          <wp:effectExtent l="0" t="0" r="0" b="0"/>
          <wp:wrapNone/>
          <wp:docPr id="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3"/>
                  <pic:cNvPicPr/>
                </pic:nvPicPr>
                <pic:blipFill>
                  <a:blip r:embed="rId1"/>
                  <a:stretch>
                    <a:fillRect/>
                  </a:stretch>
                </pic:blipFill>
                <pic:spPr>
                  <a:xfrm>
                    <a:off x="0" y="0"/>
                    <a:ext cx="896620" cy="6933565"/>
                  </a:xfrm>
                  <a:prstGeom prst="rect">
                    <a:avLst/>
                  </a:prstGeom>
                </pic:spPr>
              </pic:pic>
            </a:graphicData>
          </a:graphic>
          <wp14:sizeRelH relativeFrom="margin">
            <wp14:pctWidth>0</wp14:pctWidth>
          </wp14:sizeRelH>
          <wp14:sizeRelV relativeFrom="margin">
            <wp14:pctHeight>0</wp14:pctHeight>
          </wp14:sizeRelV>
        </wp:anchor>
      </w:drawing>
    </w:r>
    <w:r w:rsidR="00242218" w:rsidRPr="00A433D1">
      <w:rPr>
        <w:rFonts w:ascii="Cambria" w:eastAsia="Cambria" w:hAnsi="Cambria" w:cs="Times New Roman"/>
        <w:noProof/>
        <w:sz w:val="24"/>
        <w:szCs w:val="24"/>
        <w:lang w:eastAsia="zh-CN" w:bidi="th-TH"/>
      </w:rPr>
      <w:drawing>
        <wp:anchor distT="0" distB="0" distL="114300" distR="114300" simplePos="0" relativeHeight="251667456" behindDoc="1" locked="1" layoutInCell="0" allowOverlap="0" wp14:anchorId="482ECEE5" wp14:editId="40A20526">
          <wp:simplePos x="0" y="0"/>
          <wp:positionH relativeFrom="page">
            <wp:posOffset>6552565</wp:posOffset>
          </wp:positionH>
          <wp:positionV relativeFrom="page">
            <wp:posOffset>288290</wp:posOffset>
          </wp:positionV>
          <wp:extent cx="720000" cy="720000"/>
          <wp:effectExtent l="0" t="0" r="0" b="0"/>
          <wp:wrapNone/>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LOGO_RGB.png"/>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9A7E" w14:textId="435760C4" w:rsidR="00981E50" w:rsidRDefault="00242218">
    <w:pPr>
      <w:pStyle w:val="Header"/>
    </w:pPr>
    <w:r w:rsidRPr="00A433D1">
      <w:rPr>
        <w:rFonts w:ascii="Cambria" w:eastAsia="Cambria" w:hAnsi="Cambria" w:cs="Times New Roman"/>
        <w:noProof/>
        <w:sz w:val="24"/>
        <w:szCs w:val="24"/>
        <w:lang w:eastAsia="zh-CN" w:bidi="th-TH"/>
      </w:rPr>
      <w:drawing>
        <wp:anchor distT="0" distB="0" distL="114300" distR="114300" simplePos="0" relativeHeight="251665408" behindDoc="1" locked="1" layoutInCell="0" allowOverlap="0" wp14:anchorId="0A281573" wp14:editId="7B5B69C5">
          <wp:simplePos x="0" y="0"/>
          <wp:positionH relativeFrom="page">
            <wp:align>center</wp:align>
          </wp:positionH>
          <wp:positionV relativeFrom="page">
            <wp:posOffset>431800</wp:posOffset>
          </wp:positionV>
          <wp:extent cx="1126800" cy="1126800"/>
          <wp:effectExtent l="0" t="0" r="0" b="0"/>
          <wp:wrapNone/>
          <wp:docPr id="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LOGO_RGB.png"/>
                  <pic:cNvPicPr/>
                </pic:nvPicPr>
                <pic:blipFill>
                  <a:blip r:embed="rId1">
                    <a:extLst>
                      <a:ext uri="{28A0092B-C50C-407E-A947-70E740481C1C}">
                        <a14:useLocalDpi xmlns:a14="http://schemas.microsoft.com/office/drawing/2010/main" val="0"/>
                      </a:ext>
                    </a:extLst>
                  </a:blip>
                  <a:stretch>
                    <a:fillRect/>
                  </a:stretch>
                </pic:blipFill>
                <pic:spPr>
                  <a:xfrm>
                    <a:off x="0" y="0"/>
                    <a:ext cx="1126800" cy="1126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A2E85"/>
    <w:multiLevelType w:val="multilevel"/>
    <w:tmpl w:val="7D5A636E"/>
    <w:lvl w:ilvl="0">
      <w:start w:val="1"/>
      <w:numFmt w:val="decimal"/>
      <w:lvlText w:val="CHAPITRE %1."/>
      <w:lvlJc w:val="left"/>
      <w:pPr>
        <w:tabs>
          <w:tab w:val="num" w:pos="1440"/>
        </w:tabs>
        <w:ind w:left="0" w:firstLine="0"/>
      </w:pPr>
      <w:rPr>
        <w:b/>
        <w:i w:val="0"/>
        <w:sz w:val="22"/>
      </w:rPr>
    </w:lvl>
    <w:lvl w:ilvl="1">
      <w:start w:val="1"/>
      <w:numFmt w:val="decimal"/>
      <w:pStyle w:val="Heading2"/>
      <w:lvlText w:val="%1.%2"/>
      <w:lvlJc w:val="left"/>
      <w:pPr>
        <w:tabs>
          <w:tab w:val="num" w:pos="720"/>
        </w:tabs>
        <w:ind w:left="720" w:hanging="720"/>
      </w:pPr>
      <w:rPr>
        <w:rFonts w:ascii="Times New Roman" w:hAnsi="Times New Roman" w:cs="Times New Roman" w:hint="default"/>
        <w:sz w:val="22"/>
      </w:rPr>
    </w:lvl>
    <w:lvl w:ilvl="2">
      <w:start w:val="1"/>
      <w:numFmt w:val="decimal"/>
      <w:pStyle w:val="Heading3"/>
      <w:lvlText w:val="%1.%2.%3"/>
      <w:lvlJc w:val="left"/>
      <w:pPr>
        <w:tabs>
          <w:tab w:val="num" w:pos="720"/>
        </w:tabs>
        <w:ind w:left="720" w:hanging="720"/>
      </w:pPr>
      <w:rPr>
        <w:rFonts w:ascii="Times New Roman" w:hAnsi="Times New Roman" w:cs="Times New Roman" w:hint="default"/>
        <w:sz w:val="22"/>
      </w:rPr>
    </w:lvl>
    <w:lvl w:ilvl="3">
      <w:start w:val="1"/>
      <w:numFmt w:val="decimal"/>
      <w:pStyle w:val="Heading4"/>
      <w:lvlText w:val="%1.%2.%3.%4"/>
      <w:lvlJc w:val="left"/>
      <w:pPr>
        <w:tabs>
          <w:tab w:val="num" w:pos="720"/>
        </w:tabs>
        <w:ind w:left="720" w:hanging="720"/>
      </w:pPr>
      <w:rPr>
        <w:rFonts w:ascii="Times New Roman" w:hAnsi="Times New Roman" w:cs="Times New Roman" w:hint="default"/>
        <w:b w:val="0"/>
        <w:i/>
        <w:sz w:val="22"/>
      </w:rPr>
    </w:lvl>
    <w:lvl w:ilvl="4">
      <w:start w:val="1"/>
      <w:numFmt w:val="none"/>
      <w:pStyle w:val="Heading5"/>
      <w:suff w:val="nothing"/>
      <w:lvlText w:val=""/>
      <w:lvlJc w:val="left"/>
      <w:pPr>
        <w:ind w:left="0" w:firstLine="288"/>
      </w:pPr>
    </w:lvl>
    <w:lvl w:ilvl="5">
      <w:start w:val="1"/>
      <w:numFmt w:val="lowerRoman"/>
      <w:pStyle w:val="Heading6"/>
      <w:lvlText w:val="(%6)"/>
      <w:lvlJc w:val="left"/>
      <w:pPr>
        <w:tabs>
          <w:tab w:val="num" w:pos="1440"/>
        </w:tabs>
        <w:ind w:left="1152" w:hanging="432"/>
      </w:pPr>
    </w:lvl>
    <w:lvl w:ilvl="6">
      <w:start w:val="1"/>
      <w:numFmt w:val="decimal"/>
      <w:pStyle w:val="Heading7"/>
      <w:lvlText w:val="%7."/>
      <w:lvlJc w:val="righ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right"/>
      <w:pPr>
        <w:tabs>
          <w:tab w:val="num" w:pos="3240"/>
        </w:tabs>
        <w:ind w:left="3240" w:hanging="360"/>
      </w:pPr>
    </w:lvl>
  </w:abstractNum>
  <w:abstractNum w:abstractNumId="1" w15:restartNumberingAfterBreak="0">
    <w:nsid w:val="3B235F0E"/>
    <w:multiLevelType w:val="hybridMultilevel"/>
    <w:tmpl w:val="76B6C3F2"/>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3D942036"/>
    <w:multiLevelType w:val="multilevel"/>
    <w:tmpl w:val="E20807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6AE7CB8"/>
    <w:multiLevelType w:val="hybridMultilevel"/>
    <w:tmpl w:val="C4464006"/>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72FA281D"/>
    <w:multiLevelType w:val="hybridMultilevel"/>
    <w:tmpl w:val="118812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407921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825393">
    <w:abstractNumId w:val="4"/>
  </w:num>
  <w:num w:numId="3" w16cid:durableId="58990448">
    <w:abstractNumId w:val="1"/>
  </w:num>
  <w:num w:numId="4" w16cid:durableId="1158420112">
    <w:abstractNumId w:val="3"/>
  </w:num>
  <w:num w:numId="5" w16cid:durableId="674962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41"/>
    <w:rsid w:val="00001C6D"/>
    <w:rsid w:val="00060D5E"/>
    <w:rsid w:val="000B7FA4"/>
    <w:rsid w:val="000C2CDF"/>
    <w:rsid w:val="00105B9E"/>
    <w:rsid w:val="00127E69"/>
    <w:rsid w:val="0013022E"/>
    <w:rsid w:val="0014132A"/>
    <w:rsid w:val="00165248"/>
    <w:rsid w:val="001668C9"/>
    <w:rsid w:val="00173C26"/>
    <w:rsid w:val="0018682A"/>
    <w:rsid w:val="00186A35"/>
    <w:rsid w:val="001B14D6"/>
    <w:rsid w:val="001B3D4F"/>
    <w:rsid w:val="001C76E8"/>
    <w:rsid w:val="001F4817"/>
    <w:rsid w:val="001F5FF8"/>
    <w:rsid w:val="00207896"/>
    <w:rsid w:val="002208A9"/>
    <w:rsid w:val="00234C18"/>
    <w:rsid w:val="00242218"/>
    <w:rsid w:val="00264845"/>
    <w:rsid w:val="002912BF"/>
    <w:rsid w:val="002916C3"/>
    <w:rsid w:val="002B6DF9"/>
    <w:rsid w:val="002C224D"/>
    <w:rsid w:val="002C3F07"/>
    <w:rsid w:val="002C4461"/>
    <w:rsid w:val="002F4EAD"/>
    <w:rsid w:val="00344C0C"/>
    <w:rsid w:val="00357B3F"/>
    <w:rsid w:val="00361DBD"/>
    <w:rsid w:val="003845FF"/>
    <w:rsid w:val="00395E60"/>
    <w:rsid w:val="003A1E6A"/>
    <w:rsid w:val="003A47CF"/>
    <w:rsid w:val="003B26DC"/>
    <w:rsid w:val="003E6B68"/>
    <w:rsid w:val="004074EA"/>
    <w:rsid w:val="0044790B"/>
    <w:rsid w:val="00451B09"/>
    <w:rsid w:val="00456FDD"/>
    <w:rsid w:val="00472272"/>
    <w:rsid w:val="00492C12"/>
    <w:rsid w:val="004C5B41"/>
    <w:rsid w:val="004D2E86"/>
    <w:rsid w:val="004E0E96"/>
    <w:rsid w:val="004F50B1"/>
    <w:rsid w:val="00502AFB"/>
    <w:rsid w:val="00563DEE"/>
    <w:rsid w:val="005679C6"/>
    <w:rsid w:val="00572DFF"/>
    <w:rsid w:val="005A6671"/>
    <w:rsid w:val="005D55A3"/>
    <w:rsid w:val="005D5ADF"/>
    <w:rsid w:val="005E1050"/>
    <w:rsid w:val="005E345F"/>
    <w:rsid w:val="005F5B01"/>
    <w:rsid w:val="00624450"/>
    <w:rsid w:val="00634D86"/>
    <w:rsid w:val="00641AD4"/>
    <w:rsid w:val="00680EAC"/>
    <w:rsid w:val="00694ABB"/>
    <w:rsid w:val="006B69B0"/>
    <w:rsid w:val="006B76EF"/>
    <w:rsid w:val="006C783C"/>
    <w:rsid w:val="006E156A"/>
    <w:rsid w:val="006E2A0D"/>
    <w:rsid w:val="00700E64"/>
    <w:rsid w:val="00727B65"/>
    <w:rsid w:val="00750D5E"/>
    <w:rsid w:val="00765FE4"/>
    <w:rsid w:val="007A3F85"/>
    <w:rsid w:val="007A4FD2"/>
    <w:rsid w:val="007B285F"/>
    <w:rsid w:val="007F6BA8"/>
    <w:rsid w:val="00842CA2"/>
    <w:rsid w:val="00857BA5"/>
    <w:rsid w:val="00885AB4"/>
    <w:rsid w:val="00894ED9"/>
    <w:rsid w:val="008D79A9"/>
    <w:rsid w:val="009166CC"/>
    <w:rsid w:val="00927F7D"/>
    <w:rsid w:val="00934F23"/>
    <w:rsid w:val="00981E50"/>
    <w:rsid w:val="009946A9"/>
    <w:rsid w:val="009A15FD"/>
    <w:rsid w:val="009A4A44"/>
    <w:rsid w:val="009A4DA1"/>
    <w:rsid w:val="009B35EE"/>
    <w:rsid w:val="009D5163"/>
    <w:rsid w:val="009D6984"/>
    <w:rsid w:val="00A02BCE"/>
    <w:rsid w:val="00A10047"/>
    <w:rsid w:val="00A815F1"/>
    <w:rsid w:val="00AC2AC1"/>
    <w:rsid w:val="00B02ACF"/>
    <w:rsid w:val="00B12AD6"/>
    <w:rsid w:val="00B15232"/>
    <w:rsid w:val="00B17B20"/>
    <w:rsid w:val="00B354CA"/>
    <w:rsid w:val="00B570F8"/>
    <w:rsid w:val="00B6390D"/>
    <w:rsid w:val="00B87424"/>
    <w:rsid w:val="00B9445F"/>
    <w:rsid w:val="00BA47C9"/>
    <w:rsid w:val="00BC03E9"/>
    <w:rsid w:val="00BF7B32"/>
    <w:rsid w:val="00C07B8B"/>
    <w:rsid w:val="00C75166"/>
    <w:rsid w:val="00C80EC6"/>
    <w:rsid w:val="00CC766C"/>
    <w:rsid w:val="00CD05E0"/>
    <w:rsid w:val="00CD638F"/>
    <w:rsid w:val="00CE1D55"/>
    <w:rsid w:val="00CF2274"/>
    <w:rsid w:val="00D0038C"/>
    <w:rsid w:val="00D10484"/>
    <w:rsid w:val="00D4119C"/>
    <w:rsid w:val="00D52886"/>
    <w:rsid w:val="00D71BA8"/>
    <w:rsid w:val="00D82941"/>
    <w:rsid w:val="00D91F41"/>
    <w:rsid w:val="00DC20D8"/>
    <w:rsid w:val="00DD02CA"/>
    <w:rsid w:val="00DF22E8"/>
    <w:rsid w:val="00DF7987"/>
    <w:rsid w:val="00E0287B"/>
    <w:rsid w:val="00E22CBE"/>
    <w:rsid w:val="00E7575A"/>
    <w:rsid w:val="00E808F6"/>
    <w:rsid w:val="00E864B8"/>
    <w:rsid w:val="00EC5FA1"/>
    <w:rsid w:val="00EE49A5"/>
    <w:rsid w:val="00F14412"/>
    <w:rsid w:val="00F32387"/>
    <w:rsid w:val="00F56E28"/>
    <w:rsid w:val="00F63900"/>
    <w:rsid w:val="00FA1526"/>
    <w:rsid w:val="00FD121D"/>
    <w:rsid w:val="00FE042F"/>
  </w:rsids>
  <m:mathPr>
    <m:mathFont m:val="Cambria Math"/>
    <m:brkBin m:val="before"/>
    <m:brkBinSub m:val="--"/>
    <m:smallFrac m:val="0"/>
    <m:dispDef/>
    <m:lMargin m:val="0"/>
    <m:rMargin m:val="0"/>
    <m:defJc m:val="centerGroup"/>
    <m:wrapIndent m:val="1440"/>
    <m:intLim m:val="subSup"/>
    <m:naryLim m:val="undOvr"/>
  </m:mathPr>
  <w:themeFontLang w:val="fr-F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0560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45F"/>
    <w:rPr>
      <w:sz w:val="22"/>
      <w:szCs w:val="22"/>
      <w:lang w:eastAsia="en-US"/>
    </w:rPr>
  </w:style>
  <w:style w:type="paragraph" w:styleId="Heading2">
    <w:name w:val="heading 2"/>
    <w:basedOn w:val="Normal"/>
    <w:next w:val="Normal"/>
    <w:link w:val="Heading2Char"/>
    <w:uiPriority w:val="9"/>
    <w:semiHidden/>
    <w:unhideWhenUsed/>
    <w:qFormat/>
    <w:rsid w:val="00B02ACF"/>
    <w:pPr>
      <w:keepNext/>
      <w:numPr>
        <w:ilvl w:val="1"/>
        <w:numId w:val="1"/>
      </w:numPr>
      <w:spacing w:after="240"/>
      <w:outlineLvl w:val="1"/>
    </w:pPr>
    <w:rPr>
      <w:rFonts w:ascii="Times New Roman" w:eastAsia="Times New Roman" w:hAnsi="Times New Roman" w:cs="Times New Roman"/>
      <w:b/>
      <w:iCs/>
      <w:szCs w:val="20"/>
      <w:lang w:val="en-US"/>
    </w:rPr>
  </w:style>
  <w:style w:type="paragraph" w:styleId="Heading3">
    <w:name w:val="heading 3"/>
    <w:aliases w:val="3"/>
    <w:basedOn w:val="Normal"/>
    <w:next w:val="Normal"/>
    <w:link w:val="Heading3Char"/>
    <w:uiPriority w:val="9"/>
    <w:semiHidden/>
    <w:unhideWhenUsed/>
    <w:qFormat/>
    <w:rsid w:val="00B02ACF"/>
    <w:pPr>
      <w:keepNext/>
      <w:numPr>
        <w:ilvl w:val="2"/>
        <w:numId w:val="1"/>
      </w:numPr>
      <w:snapToGrid w:val="0"/>
      <w:spacing w:after="240"/>
      <w:outlineLvl w:val="2"/>
    </w:pPr>
    <w:rPr>
      <w:rFonts w:ascii="Times New Roman" w:eastAsia="Times New Roman" w:hAnsi="Times New Roman" w:cs="Times New Roman"/>
      <w:szCs w:val="26"/>
      <w:lang w:val="en-US" w:eastAsia="fr-FR"/>
    </w:rPr>
  </w:style>
  <w:style w:type="paragraph" w:styleId="Heading4">
    <w:name w:val="heading 4"/>
    <w:basedOn w:val="Normal"/>
    <w:next w:val="Normal"/>
    <w:link w:val="Heading4Char"/>
    <w:uiPriority w:val="9"/>
    <w:semiHidden/>
    <w:unhideWhenUsed/>
    <w:qFormat/>
    <w:rsid w:val="00B02ACF"/>
    <w:pPr>
      <w:keepNext/>
      <w:numPr>
        <w:ilvl w:val="3"/>
        <w:numId w:val="1"/>
      </w:numPr>
      <w:spacing w:after="240"/>
      <w:outlineLvl w:val="3"/>
    </w:pPr>
    <w:rPr>
      <w:rFonts w:ascii="Times New Roman" w:eastAsia="Times New Roman" w:hAnsi="Times New Roman" w:cs="Times New Roman"/>
      <w:bCs/>
      <w:i/>
      <w:szCs w:val="20"/>
      <w:lang w:val="en-US"/>
    </w:rPr>
  </w:style>
  <w:style w:type="paragraph" w:styleId="Heading5">
    <w:name w:val="heading 5"/>
    <w:basedOn w:val="Normal"/>
    <w:next w:val="Normal"/>
    <w:link w:val="Heading5Char"/>
    <w:uiPriority w:val="9"/>
    <w:semiHidden/>
    <w:unhideWhenUsed/>
    <w:qFormat/>
    <w:rsid w:val="00B02ACF"/>
    <w:pPr>
      <w:keepNext/>
      <w:numPr>
        <w:ilvl w:val="4"/>
        <w:numId w:val="1"/>
      </w:numPr>
      <w:outlineLvl w:val="4"/>
    </w:pPr>
    <w:rPr>
      <w:rFonts w:ascii="Times New Roman" w:eastAsia="Times New Roman" w:hAnsi="Times New Roman" w:cs="Times New Roman"/>
      <w:b/>
      <w:bCs/>
      <w:sz w:val="20"/>
      <w:szCs w:val="20"/>
      <w:lang w:val="en-US"/>
    </w:rPr>
  </w:style>
  <w:style w:type="paragraph" w:styleId="Heading6">
    <w:name w:val="heading 6"/>
    <w:basedOn w:val="Normal"/>
    <w:next w:val="Normal"/>
    <w:link w:val="Heading6Char"/>
    <w:uiPriority w:val="9"/>
    <w:semiHidden/>
    <w:unhideWhenUsed/>
    <w:qFormat/>
    <w:rsid w:val="00B02ACF"/>
    <w:pPr>
      <w:keepNext/>
      <w:numPr>
        <w:ilvl w:val="5"/>
        <w:numId w:val="1"/>
      </w:numPr>
      <w:spacing w:after="180"/>
      <w:jc w:val="both"/>
      <w:outlineLvl w:val="5"/>
    </w:pPr>
    <w:rPr>
      <w:rFonts w:ascii="Times New Roman" w:eastAsia="Times New Roman" w:hAnsi="Times New Roman" w:cs="Times New Roman"/>
      <w:b/>
      <w:bCs/>
      <w:i/>
      <w:iCs/>
      <w:szCs w:val="20"/>
      <w:lang w:val="en-US"/>
    </w:rPr>
  </w:style>
  <w:style w:type="paragraph" w:styleId="Heading7">
    <w:name w:val="heading 7"/>
    <w:basedOn w:val="Normal"/>
    <w:next w:val="Normal"/>
    <w:link w:val="Heading7Char"/>
    <w:semiHidden/>
    <w:unhideWhenUsed/>
    <w:qFormat/>
    <w:rsid w:val="00B02ACF"/>
    <w:pPr>
      <w:keepNext/>
      <w:numPr>
        <w:ilvl w:val="6"/>
        <w:numId w:val="1"/>
      </w:numPr>
      <w:tabs>
        <w:tab w:val="clear" w:pos="2520"/>
      </w:tabs>
      <w:spacing w:after="180"/>
      <w:ind w:left="5400"/>
      <w:jc w:val="both"/>
      <w:outlineLvl w:val="6"/>
    </w:pPr>
    <w:rPr>
      <w:rFonts w:ascii="Times New Roman" w:eastAsia="Times New Roman" w:hAnsi="Times New Roman" w:cs="Times New Roman"/>
      <w:b/>
      <w:bCs/>
      <w:szCs w:val="20"/>
      <w:lang w:val="en-US"/>
    </w:rPr>
  </w:style>
  <w:style w:type="paragraph" w:styleId="Heading8">
    <w:name w:val="heading 8"/>
    <w:basedOn w:val="Normal"/>
    <w:next w:val="Normal"/>
    <w:link w:val="Heading8Char"/>
    <w:semiHidden/>
    <w:unhideWhenUsed/>
    <w:qFormat/>
    <w:rsid w:val="00B02ACF"/>
    <w:pPr>
      <w:numPr>
        <w:ilvl w:val="7"/>
        <w:numId w:val="1"/>
      </w:numPr>
      <w:spacing w:before="240" w:after="60"/>
      <w:jc w:val="both"/>
      <w:outlineLvl w:val="7"/>
    </w:pPr>
    <w:rPr>
      <w:rFonts w:ascii="Times New Roman" w:eastAsia="Times New Roman" w:hAnsi="Times New Roman" w:cs="Times New Roman"/>
      <w:i/>
      <w:szCs w:val="20"/>
      <w:lang w:val="en-US" w:eastAsia="fr-FR"/>
    </w:rPr>
  </w:style>
  <w:style w:type="paragraph" w:styleId="Heading9">
    <w:name w:val="heading 9"/>
    <w:basedOn w:val="Normal"/>
    <w:next w:val="Normal"/>
    <w:link w:val="Heading9Char"/>
    <w:semiHidden/>
    <w:unhideWhenUsed/>
    <w:qFormat/>
    <w:rsid w:val="00B02ACF"/>
    <w:pPr>
      <w:keepNext/>
      <w:numPr>
        <w:ilvl w:val="8"/>
        <w:numId w:val="1"/>
      </w:numPr>
      <w:spacing w:before="120" w:after="120"/>
      <w:ind w:right="96"/>
      <w:jc w:val="both"/>
      <w:outlineLvl w:val="8"/>
    </w:pPr>
    <w:rPr>
      <w:rFonts w:ascii="Times New Roman" w:eastAsia="Arial Unicode MS" w:hAnsi="Times New Roman" w:cs="Times New Roman"/>
      <w:b/>
      <w:bCs/>
      <w:sz w:val="18"/>
      <w:szCs w:val="18"/>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B41"/>
    <w:pPr>
      <w:tabs>
        <w:tab w:val="center" w:pos="4536"/>
        <w:tab w:val="right" w:pos="9072"/>
      </w:tabs>
    </w:pPr>
  </w:style>
  <w:style w:type="character" w:customStyle="1" w:styleId="HeaderChar">
    <w:name w:val="Header Char"/>
    <w:basedOn w:val="DefaultParagraphFont"/>
    <w:link w:val="Header"/>
    <w:uiPriority w:val="99"/>
    <w:rsid w:val="004C5B41"/>
  </w:style>
  <w:style w:type="paragraph" w:styleId="Footer">
    <w:name w:val="footer"/>
    <w:basedOn w:val="Normal"/>
    <w:link w:val="FooterChar"/>
    <w:uiPriority w:val="99"/>
    <w:unhideWhenUsed/>
    <w:rsid w:val="004C5B41"/>
    <w:pPr>
      <w:tabs>
        <w:tab w:val="center" w:pos="4536"/>
        <w:tab w:val="right" w:pos="9072"/>
      </w:tabs>
    </w:pPr>
  </w:style>
  <w:style w:type="character" w:customStyle="1" w:styleId="FooterChar">
    <w:name w:val="Footer Char"/>
    <w:basedOn w:val="DefaultParagraphFont"/>
    <w:link w:val="Footer"/>
    <w:uiPriority w:val="99"/>
    <w:rsid w:val="004C5B41"/>
  </w:style>
  <w:style w:type="paragraph" w:styleId="BalloonText">
    <w:name w:val="Balloon Text"/>
    <w:basedOn w:val="Normal"/>
    <w:link w:val="BalloonTextChar"/>
    <w:uiPriority w:val="99"/>
    <w:semiHidden/>
    <w:unhideWhenUsed/>
    <w:rsid w:val="00CF2274"/>
    <w:rPr>
      <w:rFonts w:ascii="Tahoma" w:hAnsi="Tahoma" w:cs="Tahoma"/>
      <w:sz w:val="16"/>
      <w:szCs w:val="16"/>
    </w:rPr>
  </w:style>
  <w:style w:type="character" w:customStyle="1" w:styleId="BalloonTextChar">
    <w:name w:val="Balloon Text Char"/>
    <w:basedOn w:val="DefaultParagraphFont"/>
    <w:link w:val="BalloonText"/>
    <w:uiPriority w:val="99"/>
    <w:semiHidden/>
    <w:rsid w:val="00CF2274"/>
    <w:rPr>
      <w:rFonts w:ascii="Tahoma" w:hAnsi="Tahoma" w:cs="Tahoma"/>
      <w:sz w:val="16"/>
      <w:szCs w:val="16"/>
    </w:rPr>
  </w:style>
  <w:style w:type="character" w:styleId="Hyperlink">
    <w:name w:val="Hyperlink"/>
    <w:basedOn w:val="DefaultParagraphFont"/>
    <w:unhideWhenUsed/>
    <w:rsid w:val="00186A35"/>
    <w:rPr>
      <w:color w:val="0000FF"/>
      <w:u w:val="single"/>
    </w:rPr>
  </w:style>
  <w:style w:type="paragraph" w:customStyle="1" w:styleId="Paragraphestandard">
    <w:name w:val="[Paragraphe standard]"/>
    <w:basedOn w:val="Normal"/>
    <w:uiPriority w:val="99"/>
    <w:rsid w:val="00D52886"/>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fr-FR"/>
    </w:rPr>
  </w:style>
  <w:style w:type="table" w:styleId="TableGrid">
    <w:name w:val="Table Grid"/>
    <w:basedOn w:val="TableNormal"/>
    <w:uiPriority w:val="59"/>
    <w:rsid w:val="00A815F1"/>
    <w:rPr>
      <w:rFonts w:ascii="Times New Roman" w:eastAsia="Times New Roman" w:hAnsi="Times New Roman" w:cs="Times New Roman"/>
      <w:lang w:eastAsia="zh-TW"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Majuscule">
    <w:name w:val="Normal a Majuscule"/>
    <w:basedOn w:val="Normal"/>
    <w:rsid w:val="00234C18"/>
    <w:pPr>
      <w:tabs>
        <w:tab w:val="left" w:pos="357"/>
      </w:tabs>
      <w:spacing w:before="240"/>
      <w:ind w:right="23"/>
      <w:jc w:val="both"/>
    </w:pPr>
    <w:rPr>
      <w:rFonts w:eastAsia="Times New Roman"/>
      <w:b/>
      <w:bCs/>
      <w:sz w:val="20"/>
      <w:szCs w:val="20"/>
      <w:lang w:val="en-US" w:bidi="en-US"/>
    </w:rPr>
  </w:style>
  <w:style w:type="paragraph" w:customStyle="1" w:styleId="Normala">
    <w:name w:val="Normal a"/>
    <w:basedOn w:val="Normal"/>
    <w:rsid w:val="00234C18"/>
    <w:pPr>
      <w:spacing w:after="1"/>
      <w:ind w:right="23"/>
      <w:jc w:val="both"/>
    </w:pPr>
    <w:rPr>
      <w:rFonts w:eastAsia="Times New Roman"/>
      <w:sz w:val="20"/>
      <w:szCs w:val="20"/>
      <w:lang w:val="en-US" w:bidi="en-US"/>
    </w:rPr>
  </w:style>
  <w:style w:type="character" w:customStyle="1" w:styleId="Heading2Char">
    <w:name w:val="Heading 2 Char"/>
    <w:basedOn w:val="DefaultParagraphFont"/>
    <w:link w:val="Heading2"/>
    <w:semiHidden/>
    <w:rsid w:val="00B02ACF"/>
    <w:rPr>
      <w:rFonts w:ascii="Times New Roman" w:eastAsia="Times New Roman" w:hAnsi="Times New Roman" w:cs="Times New Roman"/>
      <w:b/>
      <w:iCs/>
      <w:sz w:val="22"/>
      <w:lang w:val="en-US" w:eastAsia="en-US"/>
    </w:rPr>
  </w:style>
  <w:style w:type="character" w:customStyle="1" w:styleId="Heading3Char">
    <w:name w:val="Heading 3 Char"/>
    <w:aliases w:val="3 Char"/>
    <w:basedOn w:val="DefaultParagraphFont"/>
    <w:link w:val="Heading3"/>
    <w:semiHidden/>
    <w:rsid w:val="00B02ACF"/>
    <w:rPr>
      <w:rFonts w:ascii="Times New Roman" w:eastAsia="Times New Roman" w:hAnsi="Times New Roman" w:cs="Times New Roman"/>
      <w:sz w:val="22"/>
      <w:szCs w:val="26"/>
      <w:lang w:val="en-US"/>
    </w:rPr>
  </w:style>
  <w:style w:type="character" w:customStyle="1" w:styleId="Heading4Char">
    <w:name w:val="Heading 4 Char"/>
    <w:basedOn w:val="DefaultParagraphFont"/>
    <w:link w:val="Heading4"/>
    <w:semiHidden/>
    <w:rsid w:val="00B02ACF"/>
    <w:rPr>
      <w:rFonts w:ascii="Times New Roman" w:eastAsia="Times New Roman" w:hAnsi="Times New Roman" w:cs="Times New Roman"/>
      <w:bCs/>
      <w:i/>
      <w:sz w:val="22"/>
      <w:lang w:val="en-US" w:eastAsia="en-US"/>
    </w:rPr>
  </w:style>
  <w:style w:type="character" w:customStyle="1" w:styleId="Heading5Char">
    <w:name w:val="Heading 5 Char"/>
    <w:basedOn w:val="DefaultParagraphFont"/>
    <w:link w:val="Heading5"/>
    <w:semiHidden/>
    <w:rsid w:val="00B02ACF"/>
    <w:rPr>
      <w:rFonts w:ascii="Times New Roman" w:eastAsia="Times New Roman" w:hAnsi="Times New Roman" w:cs="Times New Roman"/>
      <w:b/>
      <w:bCs/>
      <w:lang w:val="en-US" w:eastAsia="en-US"/>
    </w:rPr>
  </w:style>
  <w:style w:type="character" w:customStyle="1" w:styleId="Heading6Char">
    <w:name w:val="Heading 6 Char"/>
    <w:basedOn w:val="DefaultParagraphFont"/>
    <w:link w:val="Heading6"/>
    <w:semiHidden/>
    <w:rsid w:val="00B02ACF"/>
    <w:rPr>
      <w:rFonts w:ascii="Times New Roman" w:eastAsia="Times New Roman" w:hAnsi="Times New Roman" w:cs="Times New Roman"/>
      <w:b/>
      <w:bCs/>
      <w:i/>
      <w:iCs/>
      <w:sz w:val="22"/>
      <w:lang w:val="en-US" w:eastAsia="en-US"/>
    </w:rPr>
  </w:style>
  <w:style w:type="character" w:customStyle="1" w:styleId="Heading7Char">
    <w:name w:val="Heading 7 Char"/>
    <w:basedOn w:val="DefaultParagraphFont"/>
    <w:link w:val="Heading7"/>
    <w:semiHidden/>
    <w:rsid w:val="00B02ACF"/>
    <w:rPr>
      <w:rFonts w:ascii="Times New Roman" w:eastAsia="Times New Roman" w:hAnsi="Times New Roman" w:cs="Times New Roman"/>
      <w:b/>
      <w:bCs/>
      <w:sz w:val="22"/>
      <w:lang w:val="en-US" w:eastAsia="en-US"/>
    </w:rPr>
  </w:style>
  <w:style w:type="character" w:customStyle="1" w:styleId="Heading8Char">
    <w:name w:val="Heading 8 Char"/>
    <w:basedOn w:val="DefaultParagraphFont"/>
    <w:link w:val="Heading8"/>
    <w:semiHidden/>
    <w:rsid w:val="00B02ACF"/>
    <w:rPr>
      <w:rFonts w:ascii="Times New Roman" w:eastAsia="Times New Roman" w:hAnsi="Times New Roman" w:cs="Times New Roman"/>
      <w:i/>
      <w:sz w:val="22"/>
      <w:lang w:val="en-US"/>
    </w:rPr>
  </w:style>
  <w:style w:type="character" w:customStyle="1" w:styleId="Heading9Char">
    <w:name w:val="Heading 9 Char"/>
    <w:basedOn w:val="DefaultParagraphFont"/>
    <w:link w:val="Heading9"/>
    <w:semiHidden/>
    <w:rsid w:val="00B02ACF"/>
    <w:rPr>
      <w:rFonts w:ascii="Times New Roman" w:eastAsia="Arial Unicode MS" w:hAnsi="Times New Roman" w:cs="Times New Roman"/>
      <w:b/>
      <w:bCs/>
      <w:sz w:val="18"/>
      <w:szCs w:val="18"/>
      <w:lang w:val="en-US"/>
    </w:rPr>
  </w:style>
  <w:style w:type="paragraph" w:styleId="ListParagraph">
    <w:name w:val="List Paragraph"/>
    <w:basedOn w:val="Normal"/>
    <w:uiPriority w:val="34"/>
    <w:qFormat/>
    <w:rsid w:val="009D5163"/>
    <w:pPr>
      <w:ind w:left="720"/>
      <w:contextualSpacing/>
    </w:pPr>
  </w:style>
  <w:style w:type="character" w:styleId="UnresolvedMention">
    <w:name w:val="Unresolved Mention"/>
    <w:basedOn w:val="DefaultParagraphFont"/>
    <w:uiPriority w:val="99"/>
    <w:semiHidden/>
    <w:unhideWhenUsed/>
    <w:rsid w:val="00456FDD"/>
    <w:rPr>
      <w:color w:val="605E5C"/>
      <w:shd w:val="clear" w:color="auto" w:fill="E1DFDD"/>
    </w:rPr>
  </w:style>
  <w:style w:type="paragraph" w:styleId="FootnoteText">
    <w:name w:val="footnote text"/>
    <w:basedOn w:val="Normal"/>
    <w:link w:val="FootnoteTextChar"/>
    <w:uiPriority w:val="99"/>
    <w:unhideWhenUsed/>
    <w:rsid w:val="002F4EAD"/>
    <w:rPr>
      <w:rFonts w:asciiTheme="minorHAnsi" w:eastAsiaTheme="minorHAnsi" w:hAnsiTheme="minorHAnsi" w:cstheme="minorBidi"/>
      <w:sz w:val="20"/>
      <w:szCs w:val="20"/>
      <w:lang w:val="en-CA"/>
    </w:rPr>
  </w:style>
  <w:style w:type="character" w:customStyle="1" w:styleId="FootnoteTextChar">
    <w:name w:val="Footnote Text Char"/>
    <w:basedOn w:val="DefaultParagraphFont"/>
    <w:link w:val="FootnoteText"/>
    <w:uiPriority w:val="99"/>
    <w:rsid w:val="002F4EAD"/>
    <w:rPr>
      <w:rFonts w:asciiTheme="minorHAnsi" w:eastAsiaTheme="minorHAnsi" w:hAnsiTheme="minorHAnsi" w:cstheme="minorBidi"/>
      <w:lang w:val="en-CA" w:eastAsia="en-US"/>
    </w:rPr>
  </w:style>
  <w:style w:type="character" w:styleId="FootnoteReference">
    <w:name w:val="footnote reference"/>
    <w:basedOn w:val="DefaultParagraphFont"/>
    <w:uiPriority w:val="99"/>
    <w:semiHidden/>
    <w:unhideWhenUsed/>
    <w:rsid w:val="002F4EAD"/>
    <w:rPr>
      <w:vertAlign w:val="superscript"/>
    </w:rPr>
  </w:style>
  <w:style w:type="paragraph" w:styleId="Revision">
    <w:name w:val="Revision"/>
    <w:hidden/>
    <w:uiPriority w:val="99"/>
    <w:semiHidden/>
    <w:rsid w:val="00165248"/>
    <w:rPr>
      <w:sz w:val="22"/>
      <w:szCs w:val="22"/>
      <w:lang w:eastAsia="en-US"/>
    </w:rPr>
  </w:style>
  <w:style w:type="paragraph" w:customStyle="1" w:styleId="Corps">
    <w:name w:val="Corps"/>
    <w:rsid w:val="009946A9"/>
    <w:pPr>
      <w:pBdr>
        <w:top w:val="nil"/>
        <w:left w:val="nil"/>
        <w:bottom w:val="nil"/>
        <w:right w:val="nil"/>
        <w:between w:val="nil"/>
        <w:bar w:val="nil"/>
      </w:pBdr>
    </w:pPr>
    <w:rPr>
      <w:rFonts w:eastAsia="Arial Unicode MS" w:cs="Arial Unicode MS"/>
      <w:color w:val="000000"/>
      <w:sz w:val="22"/>
      <w:szCs w:val="22"/>
      <w:u w:color="000000"/>
      <w:bdr w:val="nil"/>
      <w:lang w:eastAsia="zh-CN" w:bidi="th-TH"/>
    </w:rPr>
  </w:style>
  <w:style w:type="character" w:styleId="CommentReference">
    <w:name w:val="annotation reference"/>
    <w:basedOn w:val="DefaultParagraphFont"/>
    <w:uiPriority w:val="99"/>
    <w:semiHidden/>
    <w:unhideWhenUsed/>
    <w:rsid w:val="0013022E"/>
    <w:rPr>
      <w:sz w:val="16"/>
      <w:szCs w:val="16"/>
    </w:rPr>
  </w:style>
  <w:style w:type="paragraph" w:styleId="CommentText">
    <w:name w:val="annotation text"/>
    <w:basedOn w:val="Normal"/>
    <w:link w:val="CommentTextChar"/>
    <w:uiPriority w:val="99"/>
    <w:semiHidden/>
    <w:unhideWhenUsed/>
    <w:rsid w:val="0013022E"/>
    <w:rPr>
      <w:sz w:val="20"/>
      <w:szCs w:val="20"/>
    </w:rPr>
  </w:style>
  <w:style w:type="character" w:customStyle="1" w:styleId="CommentTextChar">
    <w:name w:val="Comment Text Char"/>
    <w:basedOn w:val="DefaultParagraphFont"/>
    <w:link w:val="CommentText"/>
    <w:uiPriority w:val="99"/>
    <w:semiHidden/>
    <w:rsid w:val="0013022E"/>
    <w:rPr>
      <w:lang w:eastAsia="en-US"/>
    </w:rPr>
  </w:style>
  <w:style w:type="paragraph" w:styleId="CommentSubject">
    <w:name w:val="annotation subject"/>
    <w:basedOn w:val="CommentText"/>
    <w:next w:val="CommentText"/>
    <w:link w:val="CommentSubjectChar"/>
    <w:uiPriority w:val="99"/>
    <w:semiHidden/>
    <w:unhideWhenUsed/>
    <w:rsid w:val="0013022E"/>
    <w:rPr>
      <w:b/>
      <w:bCs/>
    </w:rPr>
  </w:style>
  <w:style w:type="character" w:customStyle="1" w:styleId="CommentSubjectChar">
    <w:name w:val="Comment Subject Char"/>
    <w:basedOn w:val="CommentTextChar"/>
    <w:link w:val="CommentSubject"/>
    <w:uiPriority w:val="99"/>
    <w:semiHidden/>
    <w:rsid w:val="001302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omerieux.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medicine.medscape.com/article/236299-overvie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oMerieux">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DC16D0125B24BAF254A106E5B67CC" ma:contentTypeVersion="18" ma:contentTypeDescription="Crée un document." ma:contentTypeScope="" ma:versionID="ffd15c292bc70bc8bb106ec195d441be">
  <xsd:schema xmlns:xsd="http://www.w3.org/2001/XMLSchema" xmlns:xs="http://www.w3.org/2001/XMLSchema" xmlns:p="http://schemas.microsoft.com/office/2006/metadata/properties" xmlns:ns2="4754aed8-c009-43f5-9c47-45cf0e81e669" xmlns:ns3="4b6c3e8a-edc4-48f2-bb22-28ebbfbaafe3" targetNamespace="http://schemas.microsoft.com/office/2006/metadata/properties" ma:root="true" ma:fieldsID="2ac4fe25cd464bb30992ed6e7fa93920" ns2:_="" ns3:_="">
    <xsd:import namespace="4754aed8-c009-43f5-9c47-45cf0e81e669"/>
    <xsd:import namespace="4b6c3e8a-edc4-48f2-bb22-28ebbfbaaf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4aed8-c009-43f5-9c47-45cf0e81e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03a6f94c-d010-414e-831c-007be9e0e1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6c3e8a-edc4-48f2-bb22-28ebbfbaafe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3e1bdc75-a51d-49a0-a878-06bd35d587e9}" ma:internalName="TaxCatchAll" ma:showField="CatchAllData" ma:web="4b6c3e8a-edc4-48f2-bb22-28ebbfbaa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54aed8-c009-43f5-9c47-45cf0e81e669">
      <Terms xmlns="http://schemas.microsoft.com/office/infopath/2007/PartnerControls"/>
    </lcf76f155ced4ddcb4097134ff3c332f>
    <TaxCatchAll xmlns="4b6c3e8a-edc4-48f2-bb22-28ebbfbaafe3" xsi:nil="true"/>
  </documentManagement>
</p:properties>
</file>

<file path=customXml/itemProps1.xml><?xml version="1.0" encoding="utf-8"?>
<ds:datastoreItem xmlns:ds="http://schemas.openxmlformats.org/officeDocument/2006/customXml" ds:itemID="{53C00E2B-91F9-4AE8-A466-123C6AD49FB4}">
  <ds:schemaRefs>
    <ds:schemaRef ds:uri="http://schemas.openxmlformats.org/officeDocument/2006/bibliography"/>
  </ds:schemaRefs>
</ds:datastoreItem>
</file>

<file path=customXml/itemProps2.xml><?xml version="1.0" encoding="utf-8"?>
<ds:datastoreItem xmlns:ds="http://schemas.openxmlformats.org/officeDocument/2006/customXml" ds:itemID="{E34C78F9-1EF8-4018-9787-0339F24274E7}">
  <ds:schemaRefs>
    <ds:schemaRef ds:uri="http://schemas.microsoft.com/sharepoint/v3/contenttype/forms"/>
  </ds:schemaRefs>
</ds:datastoreItem>
</file>

<file path=customXml/itemProps3.xml><?xml version="1.0" encoding="utf-8"?>
<ds:datastoreItem xmlns:ds="http://schemas.openxmlformats.org/officeDocument/2006/customXml" ds:itemID="{36F94FC9-07DB-4DE2-AAC6-7FFB0C168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4aed8-c009-43f5-9c47-45cf0e81e669"/>
    <ds:schemaRef ds:uri="4b6c3e8a-edc4-48f2-bb22-28ebbfbaa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33C36-C589-4234-AD82-587F817CE542}">
  <ds:schemaRefs>
    <ds:schemaRef ds:uri="http://schemas.microsoft.com/office/2006/metadata/properties"/>
    <ds:schemaRef ds:uri="http://schemas.microsoft.com/office/infopath/2007/PartnerControls"/>
    <ds:schemaRef ds:uri="4754aed8-c009-43f5-9c47-45cf0e81e669"/>
    <ds:schemaRef ds:uri="4b6c3e8a-edc4-48f2-bb22-28ebbfbaaf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6135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Blandine FOLTA</dc:creator>
  <cp:lastModifiedBy>BENZIANE Meriem</cp:lastModifiedBy>
  <cp:revision>4</cp:revision>
  <dcterms:created xsi:type="dcterms:W3CDTF">2023-07-21T14:06:00Z</dcterms:created>
  <dcterms:modified xsi:type="dcterms:W3CDTF">2023-08-28T14:52:00Z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0x010100231DC16D0125B24BAF254A106E5B67CC</vt:lpwstr>
  </property>
</Properties>
</file>